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Test Case Generation Guide</w:t>
      </w:r>
    </w:p>
    <w:p>
      <w:r>
        <w:t>This document is meant to be handed to an AI model (as context/system prompt) so it can author new test cases for this framework. A test case is one row in an Excel sheet; the framework (</w:t>
      </w:r>
      <w:r>
        <w:rPr>
          <w:rFonts w:ascii="Consolas" w:hAnsi="Consolas"/>
          <w:sz w:val="19"/>
          <w:highlight w:val="yellow"/>
          <w:shd w:val="clear" w:fill="F2F2F2"/>
        </w:rPr>
        <w:t>pytest</w:t>
      </w:r>
      <w:r>
        <w:t xml:space="preserve"> + </w:t>
      </w:r>
      <w:r>
        <w:rPr>
          <w:rFonts w:ascii="Consolas" w:hAnsi="Consolas"/>
          <w:sz w:val="19"/>
          <w:highlight w:val="yellow"/>
          <w:shd w:val="clear" w:fill="F2F2F2"/>
        </w:rPr>
        <w:t>utils/allure_wrapper.py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utils/assertion_allure_wrapper.py</w:t>
      </w:r>
      <w:r>
        <w:t>) turns each row into a parameterized test that builds a SOAP XML request, sends it, and asserts on the response. No code needs to be written to add a test case — only a correctly-formed Excel row.</w:t>
      </w:r>
    </w:p>
    <w:p>
      <w:r>
        <w:t>There are two independent test styles, each with its own Excel schema and runner module: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b/>
              </w:rPr>
              <w:t>Style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Runner module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Batch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utils/allure_wrapper.py</w:t>
            </w:r>
          </w:p>
        </w:tc>
        <w:tc>
          <w:tcPr>
            <w:tcW w:type="dxa" w:w="3216"/>
          </w:tcPr>
          <w:p>
            <w:r/>
            <w:r>
              <w:t>Post a transaction, assert error-report content (pass/fail/warning/notification, rule IDs).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Assertion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utils/assertion_allure_wrapper.py</w:t>
            </w:r>
          </w:p>
        </w:tc>
        <w:tc>
          <w:tcPr>
            <w:tcW w:type="dxa" w:w="3216"/>
          </w:tcPr>
          <w:p>
            <w:r/>
            <w:r>
              <w:t>Post a transaction, then assert search/retrieval/custom behavior (search transactions, download, reconciliation, etc.), with optional cross-row dependencies.</w:t>
            </w:r>
          </w:p>
        </w:tc>
      </w:tr>
    </w:tbl>
    <w:p/>
    <w:p>
      <w:r>
        <w:t>Both are driven by the same underlying request-building engine (</w:t>
      </w:r>
      <w:r>
        <w:rPr>
          <w:rFonts w:ascii="Consolas" w:hAnsi="Consolas"/>
          <w:sz w:val="19"/>
          <w:highlight w:val="yellow"/>
          <w:shd w:val="clear" w:fill="F2F2F2"/>
        </w:rPr>
        <w:t>utils/request_mapper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utils/template_generator</w:t>
      </w:r>
      <w:r>
        <w:t xml:space="preserve">). Everything below applies to the "Batch" style unless marked </w:t>
      </w:r>
      <w:r>
        <w:rPr>
          <w:b/>
        </w:rPr>
        <w:t>[Assertion only]</w:t>
      </w:r>
      <w:r>
        <w:t>.</w:t>
      </w:r>
    </w:p>
    <w:p>
      <w:pPr>
        <w:pStyle w:val="Heading1"/>
      </w:pPr>
      <w:r>
        <w:t>1. How a row becomes a test</w:t>
      </w:r>
    </w:p>
    <w:p>
      <w:pPr>
        <w:pStyle w:val="ListNumber"/>
      </w:pPr>
      <w:r>
        <w:rPr>
          <w:rFonts w:ascii="Consolas" w:hAnsi="Consolas"/>
          <w:sz w:val="19"/>
          <w:highlight w:val="yellow"/>
          <w:shd w:val="clear" w:fill="F2F2F2"/>
        </w:rPr>
        <w:t>run_tests.py</w:t>
      </w:r>
      <w:r>
        <w:t xml:space="preserve"> sets environment variables and invokes </w:t>
      </w:r>
      <w:r>
        <w:rPr>
          <w:rFonts w:ascii="Consolas" w:hAnsi="Consolas"/>
          <w:sz w:val="19"/>
          <w:highlight w:val="yellow"/>
          <w:shd w:val="clear" w:fill="F2F2F2"/>
        </w:rPr>
        <w:t>pytest utils/allure_wrapper.py</w:t>
      </w:r>
      <w:r>
        <w:t xml:space="preserve"> (or </w:t>
      </w:r>
      <w:r>
        <w:rPr>
          <w:rFonts w:ascii="Consolas" w:hAnsi="Consolas"/>
          <w:sz w:val="19"/>
          <w:highlight w:val="yellow"/>
          <w:shd w:val="clear" w:fill="F2F2F2"/>
        </w:rPr>
        <w:t>assertion_allure_wrapper.py</w:t>
      </w:r>
      <w:r>
        <w:t xml:space="preserve"> for assertion runs).</w:t>
      </w:r>
    </w:p>
    <w:p>
      <w:pPr>
        <w:pStyle w:val="ListNumber"/>
      </w:pPr>
      <w:r>
        <w:rPr>
          <w:rFonts w:ascii="Consolas" w:hAnsi="Consolas"/>
          <w:sz w:val="19"/>
          <w:highlight w:val="yellow"/>
          <w:shd w:val="clear" w:fill="F2F2F2"/>
        </w:rPr>
        <w:t>pytest_generate_tests</w:t>
      </w:r>
      <w:r>
        <w:t xml:space="preserve"> loads the Excel file/sheet(s) via pandas, turns each row into a dict (</w:t>
      </w:r>
      <w:r>
        <w:rPr>
          <w:rFonts w:ascii="Consolas" w:hAnsi="Consolas"/>
          <w:sz w:val="19"/>
          <w:highlight w:val="yellow"/>
          <w:shd w:val="clear" w:fill="F2F2F2"/>
        </w:rPr>
        <w:t>NaN</w:t>
      </w:r>
      <w:r>
        <w:t xml:space="preserve"> → </w:t>
      </w:r>
      <w:r>
        <w:rPr>
          <w:rFonts w:ascii="Consolas" w:hAnsi="Consolas"/>
          <w:sz w:val="19"/>
          <w:highlight w:val="yellow"/>
          <w:shd w:val="clear" w:fill="F2F2F2"/>
        </w:rPr>
        <w:t>''</w:t>
      </w:r>
      <w:r>
        <w:t xml:space="preserve">), and parametrizes one pytest test per row, using the </w:t>
      </w:r>
      <w:r>
        <w:rPr>
          <w:rFonts w:ascii="Consolas" w:hAnsi="Consolas"/>
          <w:sz w:val="19"/>
          <w:highlight w:val="yellow"/>
          <w:shd w:val="clear" w:fill="F2F2F2"/>
        </w:rPr>
        <w:t>TC ID</w:t>
      </w:r>
      <w:r>
        <w:t xml:space="preserve"> column as the test ID.</w:t>
      </w:r>
    </w:p>
    <w:p>
      <w:pPr>
        <w:pStyle w:val="ListNumber"/>
      </w:pPr>
      <w:r>
        <w:t xml:space="preserve">For each row: </w:t>
      </w:r>
      <w:r>
        <w:rPr>
          <w:rFonts w:ascii="Consolas" w:hAnsi="Consolas"/>
          <w:sz w:val="19"/>
          <w:highlight w:val="yellow"/>
          <w:shd w:val="clear" w:fill="F2F2F2"/>
        </w:rPr>
        <w:t>do_requests(test_case['Transaction Type'], test_case['Precondition'])</w:t>
      </w:r>
      <w:r>
        <w:t xml:space="preserve"> builds a </w:t>
      </w:r>
      <w:r>
        <w:rPr>
          <w:rFonts w:ascii="Consolas" w:hAnsi="Consolas"/>
          <w:sz w:val="19"/>
          <w:highlight w:val="yellow"/>
          <w:shd w:val="clear" w:fill="F2F2F2"/>
        </w:rPr>
        <w:t>RequestMapper</w:t>
      </w:r>
      <w:r>
        <w:t xml:space="preserve"> subclass instance for that transaction type (see §4), then </w:t>
      </w:r>
      <w:r>
        <w:rPr>
          <w:rFonts w:ascii="Consolas" w:hAnsi="Consolas"/>
          <w:sz w:val="19"/>
          <w:highlight w:val="yellow"/>
          <w:shd w:val="clear" w:fill="F2F2F2"/>
        </w:rPr>
        <w:t>.do_request(system=..., live_data=test_case['Test Data'])</w:t>
      </w:r>
      <w:r>
        <w:t xml:space="preserve"> builds every prerequisite XML request in the chain, sends them, builds the final "request under test" (with </w:t>
      </w:r>
      <w:r>
        <w:rPr>
          <w:rFonts w:ascii="Consolas" w:hAnsi="Consolas"/>
          <w:sz w:val="19"/>
          <w:highlight w:val="yellow"/>
          <w:shd w:val="clear" w:fill="F2F2F2"/>
        </w:rPr>
        <w:t>Test Data</w:t>
      </w:r>
      <w:r>
        <w:t xml:space="preserve"> applied), sends it, and returns </w:t>
      </w:r>
      <w:r>
        <w:rPr>
          <w:rFonts w:ascii="Consolas" w:hAnsi="Consolas"/>
          <w:sz w:val="19"/>
          <w:highlight w:val="yellow"/>
          <w:shd w:val="clear" w:fill="F2F2F2"/>
        </w:rPr>
        <w:t>(response, template, template_flow)</w:t>
      </w:r>
      <w:r>
        <w:t>.</w:t>
      </w:r>
    </w:p>
    <w:p>
      <w:pPr>
        <w:pStyle w:val="ListNumber"/>
      </w:pPr>
      <w:r>
        <w:t xml:space="preserve">The row's </w:t>
      </w:r>
      <w:r>
        <w:rPr>
          <w:rFonts w:ascii="Consolas" w:hAnsi="Consolas"/>
          <w:sz w:val="19"/>
          <w:highlight w:val="yellow"/>
          <w:shd w:val="clear" w:fill="F2F2F2"/>
        </w:rPr>
        <w:t>Objective (Expected Result)</w:t>
      </w:r>
      <w:r>
        <w:t xml:space="preserve"> column decides which assertion path runs (see §6).</w:t>
      </w:r>
    </w:p>
    <w:p>
      <w:r>
        <w:t xml:space="preserve">A generated test case therefore needs, at minimum: a valid </w:t>
      </w:r>
      <w:r>
        <w:rPr>
          <w:rFonts w:ascii="Consolas" w:hAnsi="Consolas"/>
          <w:sz w:val="19"/>
          <w:highlight w:val="yellow"/>
          <w:shd w:val="clear" w:fill="F2F2F2"/>
        </w:rPr>
        <w:t>Transaction Type</w:t>
      </w:r>
      <w:r>
        <w:t xml:space="preserve"> (§4), well-formed </w:t>
      </w:r>
      <w:r>
        <w:rPr>
          <w:rFonts w:ascii="Consolas" w:hAnsi="Consolas"/>
          <w:sz w:val="19"/>
          <w:highlight w:val="yellow"/>
          <w:shd w:val="clear" w:fill="F2F2F2"/>
        </w:rPr>
        <w:t>Test Data</w:t>
      </w:r>
      <w:r>
        <w:t xml:space="preserve"> (§5) that will actually trigger the rule/scenario under test, and an </w:t>
      </w:r>
      <w:r>
        <w:rPr>
          <w:rFonts w:ascii="Consolas" w:hAnsi="Consolas"/>
          <w:sz w:val="19"/>
          <w:highlight w:val="yellow"/>
          <w:shd w:val="clear" w:fill="F2F2F2"/>
        </w:rPr>
        <w:t>Objective</w:t>
      </w:r>
      <w:r>
        <w:t xml:space="preserve"> that tells the framework what to check for.</w:t>
      </w:r>
    </w:p>
    <w:p>
      <w:pPr>
        <w:pStyle w:val="Heading1"/>
      </w:pPr>
      <w:r>
        <w:t>2. Excel schema</w:t>
      </w:r>
    </w:p>
    <w:p>
      <w:pPr>
        <w:pStyle w:val="Heading2"/>
      </w:pPr>
      <w:r>
        <w:t>Required columns (Batch — `utils/common_variables.py`)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Column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TC ID</w:t>
            </w:r>
          </w:p>
        </w:tc>
        <w:tc>
          <w:tcPr>
            <w:tcW w:type="dxa" w:w="4824"/>
          </w:tcPr>
          <w:p>
            <w:r/>
            <w:r>
              <w:t xml:space="preserve">Unique test case ID, used as the pytest test ID. Convention seen in practice: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TC_&lt;ShortTxnCode&gt;_&lt;RuleNum&gt;_&lt;Seq&gt;</w:t>
            </w:r>
            <w:r>
              <w:t xml:space="preserve">, e.g.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TC_CSub_82_001</w:t>
            </w:r>
            <w:r>
              <w:t xml:space="preserve"> (Claim Submission, rule 82, case 1).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Transaction Type</w:t>
            </w:r>
          </w:p>
        </w:tc>
        <w:tc>
          <w:tcPr>
            <w:tcW w:type="dxa" w:w="4824"/>
          </w:tcPr>
          <w:p>
            <w:r/>
            <w:r>
              <w:t xml:space="preserve">One of the values in §4 (case-insensitive string, e.g.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Claim Submission</w:t>
            </w:r>
            <w:r>
              <w:t xml:space="preserve">,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Prior Authorization</w:t>
            </w:r>
            <w:r>
              <w:t xml:space="preserve">,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Claim Checker</w:t>
            </w:r>
            <w:r>
              <w:t>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Rule ID</w:t>
            </w:r>
          </w:p>
        </w:tc>
        <w:tc>
          <w:tcPr>
            <w:tcW w:type="dxa" w:w="4824"/>
          </w:tcPr>
          <w:p>
            <w:r/>
            <w:r>
              <w:t xml:space="preserve">The business rule identifier the row exercises. Matched against the error-report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RuleID</w:t>
            </w:r>
            <w:r>
              <w:t xml:space="preserve"> field on assert. Also filterable via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--rule-ids</w:t>
            </w:r>
            <w:r>
              <w:t xml:space="preserve"> /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Rule ID</w:t>
            </w:r>
            <w:r>
              <w:t xml:space="preserve"> scope.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Precondition</w:t>
            </w:r>
          </w:p>
        </w:tc>
        <w:tc>
          <w:tcPr>
            <w:tcW w:type="dxa" w:w="4824"/>
          </w:tcPr>
          <w:p>
            <w:r/>
            <w:r>
              <w:t>Optional. Injects live data into a *prerequisite* step of the transaction chain, or (for search-style transactions) names which prerequisite transaction to run first. See §5.2. Leave blank for a plain chain with no per-step overrides.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Object</w:t>
            </w:r>
          </w:p>
        </w:tc>
        <w:tc>
          <w:tcPr>
            <w:tcW w:type="dxa" w:w="4824"/>
          </w:tcPr>
          <w:p>
            <w:r/>
            <w:r>
              <w:t xml:space="preserve">Expected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Object Name</w:t>
            </w:r>
            <w:r>
              <w:t xml:space="preserve"> value in the error-report row for this rule (used when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--assert-object-element</w:t>
            </w:r>
            <w:r>
              <w:t xml:space="preserve"> is on).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Element</w:t>
            </w:r>
          </w:p>
        </w:tc>
        <w:tc>
          <w:tcPr>
            <w:tcW w:type="dxa" w:w="4824"/>
          </w:tcPr>
          <w:p>
            <w:r/>
            <w:r>
              <w:t xml:space="preserve">Expected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HAAD Field</w:t>
            </w:r>
            <w:r>
              <w:t xml:space="preserve"> value in the error-report row (used when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--assert-object-element</w:t>
            </w:r>
            <w:r>
              <w:t xml:space="preserve"> is on).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 xml:space="preserve">Title </w:t>
            </w:r>
            <w:r>
              <w:t xml:space="preserve"> (note trailing space in the template) /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Name</w:t>
            </w:r>
          </w:p>
        </w:tc>
        <w:tc>
          <w:tcPr>
            <w:tcW w:type="dxa" w:w="4824"/>
          </w:tcPr>
          <w:p>
            <w:r/>
            <w:r>
              <w:t xml:space="preserve">Human-readable case title/name.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Name</w:t>
            </w:r>
            <w:r>
              <w:t xml:space="preserve"> is what shows as the Allure test description.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Description</w:t>
            </w:r>
          </w:p>
        </w:tc>
        <w:tc>
          <w:tcPr>
            <w:tcW w:type="dxa" w:w="4824"/>
          </w:tcPr>
          <w:p>
            <w:r/>
            <w:r>
              <w:t>Free text describing the case.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Test Data</w:t>
            </w:r>
          </w:p>
        </w:tc>
        <w:tc>
          <w:tcPr>
            <w:tcW w:type="dxa" w:w="4824"/>
          </w:tcPr>
          <w:p>
            <w:r/>
            <w:r>
              <w:t>The live data applied to the request-under-test XML. See §5.1. This is the main field that defines *what's actually different* about this test case.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Actual Result</w:t>
            </w:r>
          </w:p>
        </w:tc>
        <w:tc>
          <w:tcPr>
            <w:tcW w:type="dxa" w:w="4824"/>
          </w:tcPr>
          <w:p>
            <w:r/>
            <w:r>
              <w:t>Free text / left blank; filled in manually or by tooling, not consumed by the assertion engine.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Objective (Expected Result)</w:t>
            </w:r>
          </w:p>
        </w:tc>
        <w:tc>
          <w:tcPr>
            <w:tcW w:type="dxa" w:w="4824"/>
          </w:tcPr>
          <w:p>
            <w:r/>
            <w:r>
              <w:t>Drives which assertion runs. See §6.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Priority</w:t>
            </w:r>
          </w:p>
        </w:tc>
        <w:tc>
          <w:tcPr>
            <w:tcW w:type="dxa" w:w="4824"/>
          </w:tcPr>
          <w:p>
            <w:r/>
            <w:r>
              <w:t xml:space="preserve">Free text (e.g.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High</w:t>
            </w:r>
            <w:r>
              <w:t>/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Medium</w:t>
            </w:r>
            <w:r>
              <w:t>/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Low</w:t>
            </w:r>
            <w:r>
              <w:t>). Not consumed by assertion logic; informational only.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Scenario Type</w:t>
            </w:r>
            <w:r>
              <w:t xml:space="preserve"> /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ScenarioType</w:t>
            </w:r>
          </w:p>
        </w:tc>
        <w:tc>
          <w:tcPr>
            <w:tcW w:type="dxa" w:w="4824"/>
          </w:tcPr>
          <w:p>
            <w:r/>
            <w:r>
              <w:t xml:space="preserve">Conventionally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Positive</w:t>
            </w:r>
            <w:r>
              <w:t xml:space="preserve"> or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Negative</w:t>
            </w:r>
            <w:r>
              <w:t>. Shown as an Allure tag; not itself asserted.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Error Text</w:t>
            </w:r>
          </w:p>
        </w:tc>
        <w:tc>
          <w:tcPr>
            <w:tcW w:type="dxa" w:w="4824"/>
          </w:tcPr>
          <w:p>
            <w:r/>
            <w:r>
              <w:t xml:space="preserve">Expected error/warning/notification text for the rule. Supports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{{TEMPLATE.path}}</w:t>
            </w:r>
            <w:r>
              <w:t xml:space="preserve"> /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{{PRE_TEMPLATE.Step.path}}</w:t>
            </w:r>
            <w:r>
              <w:t xml:space="preserve"> substitution — see §7. Only checked when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--assert-error-text</w:t>
            </w:r>
            <w:r>
              <w:t xml:space="preserve"> is on.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Notes</w:t>
            </w:r>
          </w:p>
        </w:tc>
        <w:tc>
          <w:tcPr>
            <w:tcW w:type="dxa" w:w="4824"/>
          </w:tcPr>
          <w:p>
            <w:r/>
            <w:r>
              <w:t>Free text, informational.</w:t>
            </w:r>
          </w:p>
        </w:tc>
      </w:tr>
    </w:tbl>
    <w:p/>
    <w:p>
      <w:pPr>
        <w:pStyle w:val="Heading2"/>
      </w:pPr>
      <w:r>
        <w:t>Additional optional columns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Column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Occurrences</w:t>
            </w:r>
          </w:p>
        </w:tc>
        <w:tc>
          <w:tcPr>
            <w:tcW w:type="dxa" w:w="4824"/>
          </w:tcPr>
          <w:p>
            <w:r/>
            <w:r>
              <w:t xml:space="preserve">Expected number of times the rule occurs in the error report. If set, the framework does a strict count check and validates </w:t>
            </w:r>
            <w:r>
              <w:rPr>
                <w:b/>
              </w:rPr>
              <w:t>every</w:t>
            </w:r>
            <w:r>
              <w:t xml:space="preserve"> matched occurrence's Object/Element/Error Text (not just the first). Leave blank to skip count checking.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Field Value</w:t>
            </w:r>
          </w:p>
        </w:tc>
        <w:tc>
          <w:tcPr>
            <w:tcW w:type="dxa" w:w="4824"/>
          </w:tcPr>
          <w:p>
            <w:r/>
            <w:r>
              <w:t xml:space="preserve">Expected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Field Value</w:t>
            </w:r>
            <w:r>
              <w:t xml:space="preserve"> cell in the error-report row (checked only when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--assert-field-additional</w:t>
            </w:r>
            <w:r>
              <w:t xml:space="preserve">, i.e.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ASSERT_FIELD_ADDITIONAL=true</w:t>
            </w:r>
            <w:r>
              <w:t>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Additional Reference</w:t>
            </w:r>
          </w:p>
        </w:tc>
        <w:tc>
          <w:tcPr>
            <w:tcW w:type="dxa" w:w="4824"/>
          </w:tcPr>
          <w:p>
            <w:r/>
            <w:r>
              <w:t xml:space="preserve">Expected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Additional Reference</w:t>
            </w:r>
            <w:r>
              <w:t xml:space="preserve"> cell in the error-report row (same flag as above).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Skip Env 1</w:t>
            </w:r>
          </w:p>
        </w:tc>
        <w:tc>
          <w:tcPr>
            <w:tcW w:type="dxa" w:w="4824"/>
          </w:tcPr>
          <w:p>
            <w:r/>
            <w:r>
              <w:t xml:space="preserve">Any non-empty value other than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false</w:t>
            </w:r>
            <w:r>
              <w:t>/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no</w:t>
            </w:r>
            <w:r>
              <w:t>/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0</w:t>
            </w:r>
            <w:r>
              <w:t>/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nan</w:t>
            </w:r>
            <w:r>
              <w:t xml:space="preserve"> skips System 1 (legacy) execution in dual/both-envs modes — the test runs against System 2 (or the second env) only.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Raw_XML_&lt;Suffix&gt;</w:t>
            </w:r>
          </w:p>
        </w:tc>
        <w:tc>
          <w:tcPr>
            <w:tcW w:type="dxa" w:w="4824"/>
          </w:tcPr>
          <w:p>
            <w:r/>
            <w:r>
              <w:t xml:space="preserve">Raw XML content that gets variable-processed then Base64-encoded and substituted into the main template wherever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{{ENCODED_XML_&lt;Suffix&gt;}}</w:t>
            </w:r>
            <w:r>
              <w:t xml:space="preserve"> appears. Used for transactions that embed a whole encoded XML document as a field value.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Variable_Definitions</w:t>
            </w:r>
          </w:p>
        </w:tc>
        <w:tc>
          <w:tcPr>
            <w:tcW w:type="dxa" w:w="4824"/>
          </w:tcPr>
          <w:p>
            <w:r/>
            <w:r>
              <w:t xml:space="preserve">Semicolon-separated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name={{FUNCTION()}}</w:t>
            </w:r>
            <w:r>
              <w:t xml:space="preserve"> or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name=literal</w:t>
            </w:r>
            <w:r>
              <w:t xml:space="preserve"> pairs, declared once and then referenced later in the same row (or a Raw_XML_ column) as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{{VAR.name}}</w:t>
            </w:r>
            <w:r>
              <w:t>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Dependency</w:t>
            </w:r>
            <w:r>
              <w:t xml:space="preserve"> /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Dependency Variables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[Assertion only]</w:t>
            </w:r>
            <w:r>
              <w:t xml:space="preserve"> — see §9.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_sheet_name</w:t>
            </w:r>
          </w:p>
        </w:tc>
        <w:tc>
          <w:tcPr>
            <w:tcW w:type="dxa" w:w="4824"/>
          </w:tcPr>
          <w:p>
            <w:r/>
            <w:r>
              <w:t>Auto-added by the loader (the sheet the row came from); not something you author.</w:t>
            </w:r>
          </w:p>
        </w:tc>
      </w:tr>
    </w:tbl>
    <w:p/>
    <w:p>
      <w:pPr>
        <w:pStyle w:val="Heading2"/>
      </w:pPr>
      <w:r>
        <w:t>Column presence check</w:t>
      </w:r>
    </w:p>
    <w:p>
      <w:r>
        <w:rPr>
          <w:rFonts w:ascii="Consolas" w:hAnsi="Consolas"/>
          <w:sz w:val="19"/>
          <w:highlight w:val="yellow"/>
          <w:shd w:val="clear" w:fill="F2F2F2"/>
        </w:rPr>
        <w:t>excel_handler.validate_excel()</w:t>
      </w:r>
      <w:r>
        <w:t xml:space="preserve"> requires exactly: </w:t>
      </w:r>
      <w:r>
        <w:rPr>
          <w:rFonts w:ascii="Consolas" w:hAnsi="Consolas"/>
          <w:sz w:val="19"/>
          <w:highlight w:val="yellow"/>
          <w:shd w:val="clear" w:fill="F2F2F2"/>
        </w:rPr>
        <w:t>TC ID, Description, Test Data, Rule ID, Name, Transaction Type, Precondition, Objective (Expected Result), Scenario Type, Error Text</w:t>
      </w:r>
      <w:r>
        <w:t xml:space="preserve"> to be present as headers (values may be blank). The Assertion-tab variant (</w:t>
      </w:r>
      <w:r>
        <w:rPr>
          <w:rFonts w:ascii="Consolas" w:hAnsi="Consolas"/>
          <w:sz w:val="19"/>
          <w:highlight w:val="yellow"/>
          <w:shd w:val="clear" w:fill="F2F2F2"/>
        </w:rPr>
        <w:t>validate_assertion_excel</w:t>
      </w:r>
      <w:r>
        <w:t xml:space="preserve">) drops the </w:t>
      </w:r>
      <w:r>
        <w:rPr>
          <w:rFonts w:ascii="Consolas" w:hAnsi="Consolas"/>
          <w:sz w:val="19"/>
          <w:highlight w:val="yellow"/>
          <w:shd w:val="clear" w:fill="F2F2F2"/>
        </w:rPr>
        <w:t>Error Text</w:t>
      </w:r>
      <w:r>
        <w:t xml:space="preserve"> requirement. Extra columns beyond these are fine and ignored by validation.</w:t>
      </w:r>
    </w:p>
    <w:p>
      <w:pPr>
        <w:pStyle w:val="Heading1"/>
      </w:pPr>
      <w:r>
        <w:t>3. Execution model (how a case gets run, not authored — for context)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--mode</w:t>
      </w:r>
      <w:r>
        <w:t xml:space="preserve">: </w:t>
      </w:r>
      <w:r>
        <w:rPr>
          <w:rFonts w:ascii="Consolas" w:hAnsi="Consolas"/>
          <w:sz w:val="19"/>
          <w:highlight w:val="yellow"/>
          <w:shd w:val="clear" w:fill="F2F2F2"/>
        </w:rPr>
        <w:t>system1_only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system2_only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both_systems</w:t>
      </w:r>
      <w:r>
        <w:t xml:space="preserve"> (default) / </w:t>
      </w:r>
      <w:r>
        <w:rPr>
          <w:rFonts w:ascii="Consolas" w:hAnsi="Consolas"/>
          <w:sz w:val="19"/>
          <w:highlight w:val="yellow"/>
          <w:shd w:val="clear" w:fill="F2F2F2"/>
        </w:rPr>
        <w:t>system1_both_envs</w:t>
      </w:r>
      <w:r>
        <w:t xml:space="preserve"> — which system(s) the request is sent to. This does not change what you write in the row.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--sequence</w:t>
      </w:r>
      <w:r>
        <w:t xml:space="preserve">: </w:t>
      </w:r>
      <w:r>
        <w:rPr>
          <w:rFonts w:ascii="Consolas" w:hAnsi="Consolas"/>
          <w:sz w:val="19"/>
          <w:highlight w:val="yellow"/>
          <w:shd w:val="clear" w:fill="F2F2F2"/>
        </w:rPr>
        <w:t>full_scenario</w:t>
      </w:r>
      <w:r>
        <w:t xml:space="preserve"> (builds the whole prerequisite chain, real IDs flow between steps) vs </w:t>
      </w:r>
      <w:r>
        <w:rPr>
          <w:rFonts w:ascii="Consolas" w:hAnsi="Consolas"/>
          <w:sz w:val="19"/>
          <w:highlight w:val="yellow"/>
          <w:shd w:val="clear" w:fill="F2F2F2"/>
        </w:rPr>
        <w:t>single_api</w:t>
      </w:r>
      <w:r>
        <w:t xml:space="preserve"> (sends only a self-contained "isolated" template for the transaction under test — faster, but only usable when an </w:t>
      </w:r>
      <w:r>
        <w:rPr>
          <w:rFonts w:ascii="Consolas" w:hAnsi="Consolas"/>
          <w:sz w:val="19"/>
          <w:highlight w:val="yellow"/>
          <w:shd w:val="clear" w:fill="F2F2F2"/>
        </w:rPr>
        <w:t>_isolated</w:t>
      </w:r>
      <w:r>
        <w:t xml:space="preserve"> variant of that transaction exists, see §4).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--assert-error-text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--assert-object-element</w:t>
      </w:r>
      <w:r>
        <w:t xml:space="preserve"> — toggle whether </w:t>
      </w:r>
      <w:r>
        <w:rPr>
          <w:rFonts w:ascii="Consolas" w:hAnsi="Consolas"/>
          <w:sz w:val="19"/>
          <w:highlight w:val="yellow"/>
          <w:shd w:val="clear" w:fill="F2F2F2"/>
        </w:rPr>
        <w:t>Error Text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Object</w:t>
      </w:r>
      <w:r>
        <w:t>+</w:t>
      </w:r>
      <w:r>
        <w:rPr>
          <w:rFonts w:ascii="Consolas" w:hAnsi="Consolas"/>
          <w:sz w:val="19"/>
          <w:highlight w:val="yellow"/>
          <w:shd w:val="clear" w:fill="F2F2F2"/>
        </w:rPr>
        <w:t>Element</w:t>
      </w:r>
      <w:r>
        <w:t xml:space="preserve"> are actually compared, on top of the mandatory Rule ID presence/absence check.</w:t>
      </w:r>
    </w:p>
    <w:p>
      <w:pPr>
        <w:pStyle w:val="Heading1"/>
      </w:pPr>
      <w:r>
        <w:t>4. Transaction Type values and their prerequisite chains</w:t>
      </w:r>
    </w:p>
    <w:p>
      <w:r>
        <w:rPr>
          <w:rFonts w:ascii="Consolas" w:hAnsi="Consolas"/>
          <w:sz w:val="19"/>
          <w:highlight w:val="yellow"/>
          <w:shd w:val="clear" w:fill="F2F2F2"/>
        </w:rPr>
        <w:t>Transaction Type</w:t>
      </w:r>
      <w:r>
        <w:t xml:space="preserve"> must match (case-insensitively) one of the values of </w:t>
      </w:r>
      <w:r>
        <w:rPr>
          <w:rFonts w:ascii="Consolas" w:hAnsi="Consolas"/>
          <w:sz w:val="19"/>
          <w:highlight w:val="yellow"/>
          <w:shd w:val="clear" w:fill="F2F2F2"/>
        </w:rPr>
        <w:t>RequestsName</w:t>
      </w:r>
      <w:r>
        <w:t xml:space="preserve"> in </w:t>
      </w:r>
      <w:r>
        <w:rPr>
          <w:rFonts w:ascii="Consolas" w:hAnsi="Consolas"/>
          <w:sz w:val="19"/>
          <w:highlight w:val="yellow"/>
          <w:shd w:val="clear" w:fill="F2F2F2"/>
        </w:rPr>
        <w:t>utils/template_generator/requests_name_enums.py</w:t>
      </w:r>
      <w:r>
        <w:t xml:space="preserve">. Full authoritative list is in that enum; the most commonly used ones, and what prerequisite chain each implies, are documented case-by-case in </w:t>
      </w:r>
      <w:r>
        <w:rPr>
          <w:b/>
        </w:rPr>
        <w:t>`docs/request_mapper_transaction_flows.md`</w:t>
      </w:r>
      <w:r>
        <w:t xml:space="preserve"> — read that file for the exact chain (e.g. </w:t>
      </w:r>
      <w:r>
        <w:rPr>
          <w:rFonts w:ascii="Consolas" w:hAnsi="Consolas"/>
          <w:sz w:val="19"/>
          <w:highlight w:val="yellow"/>
          <w:shd w:val="clear" w:fill="F2F2F2"/>
        </w:rPr>
        <w:t>claim checker</w:t>
      </w:r>
      <w:r>
        <w:t xml:space="preserve"> implies Person Register → Prior Request → Prior Authorization → Claim Checker) before writing </w:t>
      </w:r>
      <w:r>
        <w:rPr>
          <w:rFonts w:ascii="Consolas" w:hAnsi="Consolas"/>
          <w:sz w:val="19"/>
          <w:highlight w:val="yellow"/>
          <w:shd w:val="clear" w:fill="F2F2F2"/>
        </w:rPr>
        <w:t>Test Data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Precondition</w:t>
      </w:r>
      <w:r>
        <w:t xml:space="preserve"> for a given transaction, since the chain determines which </w:t>
      </w:r>
      <w:r>
        <w:rPr>
          <w:rFonts w:ascii="Consolas" w:hAnsi="Consolas"/>
          <w:sz w:val="19"/>
          <w:highlight w:val="yellow"/>
          <w:shd w:val="clear" w:fill="F2F2F2"/>
        </w:rPr>
        <w:t>RequestPrefix</w:t>
      </w:r>
      <w:r>
        <w:t xml:space="preserve"> values are valid in </w:t>
      </w:r>
      <w:r>
        <w:rPr>
          <w:rFonts w:ascii="Consolas" w:hAnsi="Consolas"/>
          <w:sz w:val="19"/>
          <w:highlight w:val="yellow"/>
          <w:shd w:val="clear" w:fill="F2F2F2"/>
        </w:rPr>
        <w:t>Precondition</w:t>
      </w:r>
      <w:r>
        <w:t xml:space="preserve"> (§5.2) and which fields even exist to target in </w:t>
      </w:r>
      <w:r>
        <w:rPr>
          <w:rFonts w:ascii="Consolas" w:hAnsi="Consolas"/>
          <w:sz w:val="19"/>
          <w:highlight w:val="yellow"/>
          <w:shd w:val="clear" w:fill="F2F2F2"/>
        </w:rPr>
        <w:t>Test Data</w:t>
      </w:r>
      <w:r>
        <w:t>.</w:t>
      </w:r>
    </w:p>
    <w:p>
      <w:r>
        <w:t>Key naming conventions in the enum:</w:t>
      </w:r>
    </w:p>
    <w:p>
      <w:pPr>
        <w:pStyle w:val="ListBullet"/>
      </w:pPr>
      <w:r>
        <w:t xml:space="preserve">A transaction name with </w:t>
      </w:r>
      <w:r>
        <w:rPr>
          <w:rFonts w:ascii="Consolas" w:hAnsi="Consolas"/>
          <w:sz w:val="19"/>
          <w:highlight w:val="yellow"/>
          <w:shd w:val="clear" w:fill="F2F2F2"/>
        </w:rPr>
        <w:t>_isolated</w:t>
      </w:r>
      <w:r>
        <w:t xml:space="preserve"> (e.g. </w:t>
      </w:r>
      <w:r>
        <w:rPr>
          <w:rFonts w:ascii="Consolas" w:hAnsi="Consolas"/>
          <w:sz w:val="19"/>
          <w:highlight w:val="yellow"/>
          <w:shd w:val="clear" w:fill="F2F2F2"/>
        </w:rPr>
        <w:t>claim checker isolated</w:t>
      </w:r>
      <w:r>
        <w:t xml:space="preserve">) is the self-contained template used only in </w:t>
      </w:r>
      <w:r>
        <w:rPr>
          <w:rFonts w:ascii="Consolas" w:hAnsi="Consolas"/>
          <w:sz w:val="19"/>
          <w:highlight w:val="yellow"/>
          <w:shd w:val="clear" w:fill="F2F2F2"/>
        </w:rPr>
        <w:t>single_api</w:t>
      </w:r>
      <w:r>
        <w:t xml:space="preserve"> sequence mode — do not put this in </w:t>
      </w:r>
      <w:r>
        <w:rPr>
          <w:rFonts w:ascii="Consolas" w:hAnsi="Consolas"/>
          <w:sz w:val="19"/>
          <w:highlight w:val="yellow"/>
          <w:shd w:val="clear" w:fill="F2F2F2"/>
        </w:rPr>
        <w:t>Transaction Type</w:t>
      </w:r>
      <w:r>
        <w:t xml:space="preserve"> directly; the isolated variant is selected automatically by </w:t>
      </w:r>
      <w:r>
        <w:rPr>
          <w:rFonts w:ascii="Consolas" w:hAnsi="Consolas"/>
          <w:sz w:val="19"/>
          <w:highlight w:val="yellow"/>
          <w:shd w:val="clear" w:fill="F2F2F2"/>
        </w:rPr>
        <w:t>--sequence single_api</w:t>
      </w:r>
      <w:r>
        <w:t xml:space="preserve"> for transactions that have one. Put the plain name (e.g. </w:t>
      </w:r>
      <w:r>
        <w:rPr>
          <w:rFonts w:ascii="Consolas" w:hAnsi="Consolas"/>
          <w:sz w:val="19"/>
          <w:highlight w:val="yellow"/>
          <w:shd w:val="clear" w:fill="F2F2F2"/>
        </w:rPr>
        <w:t>claim checker</w:t>
      </w:r>
      <w:r>
        <w:t xml:space="preserve">) in </w:t>
      </w:r>
      <w:r>
        <w:rPr>
          <w:rFonts w:ascii="Consolas" w:hAnsi="Consolas"/>
          <w:sz w:val="19"/>
          <w:highlight w:val="yellow"/>
          <w:shd w:val="clear" w:fill="F2F2F2"/>
        </w:rPr>
        <w:t>Transaction Type</w:t>
      </w:r>
      <w:r>
        <w:t xml:space="preserve"> regardless of sequence mode.</w:t>
      </w:r>
    </w:p>
    <w:p>
      <w:pPr>
        <w:pStyle w:val="ListBullet"/>
      </w:pPr>
      <w:r>
        <w:t xml:space="preserve">Families: </w:t>
      </w:r>
      <w:r>
        <w:rPr>
          <w:rFonts w:ascii="Consolas" w:hAnsi="Consolas"/>
          <w:sz w:val="19"/>
          <w:highlight w:val="yellow"/>
          <w:shd w:val="clear" w:fill="F2F2F2"/>
        </w:rPr>
        <w:t>person register*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prior request*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prior authorization*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claim submission*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claim checker*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claim resubmission*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remittance advice*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cost submission*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cost resubmission*</w:t>
      </w:r>
      <w:r>
        <w:t>, plus non-chained "API-style" transactions (</w:t>
      </w:r>
      <w:r>
        <w:rPr>
          <w:rFonts w:ascii="Consolas" w:hAnsi="Consolas"/>
          <w:sz w:val="19"/>
          <w:highlight w:val="yellow"/>
          <w:shd w:val="clear" w:fill="F2F2F2"/>
        </w:rPr>
        <w:t>search transactions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get new transactions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download transaction file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set transaction downloaded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get claim count reconciliation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get person insurance history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pay for quality</w:t>
      </w:r>
      <w:r>
        <w:t>).</w:t>
      </w:r>
    </w:p>
    <w:p>
      <w:pPr>
        <w:pStyle w:val="Heading1"/>
      </w:pPr>
      <w:r>
        <w:t>5. Data syntax</w:t>
      </w:r>
    </w:p>
    <w:p>
      <w:pPr>
        <w:pStyle w:val="Heading2"/>
      </w:pPr>
      <w:r>
        <w:t>5.1 `Test Data` (a.k.a. `live_data`) — sets fields on the request-under-test</w:t>
      </w:r>
    </w:p>
    <w:p>
      <w:r>
        <w:t xml:space="preserve">Format: semicolon-separated </w:t>
      </w:r>
      <w:r>
        <w:rPr>
          <w:rFonts w:ascii="Consolas" w:hAnsi="Consolas"/>
          <w:sz w:val="19"/>
          <w:highlight w:val="yellow"/>
          <w:shd w:val="clear" w:fill="F2F2F2"/>
        </w:rPr>
        <w:t>path=value</w:t>
      </w:r>
      <w:r>
        <w:t xml:space="preserve"> pairs, applied to the </w:t>
      </w:r>
      <w:r>
        <w:rPr>
          <w:b/>
        </w:rPr>
        <w:t>final</w:t>
      </w:r>
      <w:r>
        <w:t xml:space="preserve"> XML template (the request under test, not the prerequisites — for those, use </w:t>
      </w:r>
      <w:r>
        <w:rPr>
          <w:rFonts w:ascii="Consolas" w:hAnsi="Consolas"/>
          <w:sz w:val="19"/>
          <w:highlight w:val="yellow"/>
          <w:shd w:val="clear" w:fill="F2F2F2"/>
        </w:rPr>
        <w:t>Precondition</w:t>
      </w:r>
      <w:r>
        <w:t>, §5.2).</w:t>
      </w:r>
    </w:p>
    <w:p>
      <w:pPr>
        <w:ind w:left="432"/>
        <w:shd w:val="clear" w:fill="F2F2F2"/>
      </w:pPr>
      <w:r>
        <w:rPr>
          <w:rFonts w:ascii="Consolas" w:hAnsi="Consolas"/>
          <w:sz w:val="18"/>
        </w:rPr>
        <w:t>Claim.Activity.Type=9;Claim.Activity.Code=C1786;Claim.Activity.Net=0</w:t>
      </w:r>
    </w:p>
    <w:p>
      <w:r>
        <w:rPr>
          <w:b/>
        </w:rPr>
        <w:t>Path syntax</w:t>
      </w:r>
    </w:p>
    <w:p>
      <w:pPr>
        <w:pStyle w:val="ListBullet"/>
      </w:pPr>
      <w:r>
        <w:t xml:space="preserve">Dot-separated element names walking down the XML tree from the root, matching element </w:t>
      </w:r>
      <w:r>
        <w:rPr>
          <w:b/>
        </w:rPr>
        <w:t>local names</w:t>
      </w:r>
      <w:r>
        <w:t xml:space="preserve"> (namespace-agnostic): </w:t>
      </w:r>
      <w:r>
        <w:rPr>
          <w:rFonts w:ascii="Consolas" w:hAnsi="Consolas"/>
          <w:sz w:val="19"/>
          <w:highlight w:val="yellow"/>
          <w:shd w:val="clear" w:fill="F2F2F2"/>
        </w:rPr>
        <w:t>Claim.Activity.Observation.Code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Element[N]</w:t>
      </w:r>
      <w:r>
        <w:t xml:space="preserve"> targets the Nth occurrence of a repeated element at that level, e.g. </w:t>
      </w:r>
      <w:r>
        <w:rPr>
          <w:rFonts w:ascii="Consolas" w:hAnsi="Consolas"/>
          <w:sz w:val="19"/>
          <w:highlight w:val="yellow"/>
          <w:shd w:val="clear" w:fill="F2F2F2"/>
        </w:rPr>
        <w:t>Claim.Activity[2].ID=...</w:t>
      </w:r>
      <w:r>
        <w:t xml:space="preserve"> sets the ID of the 2nd </w:t>
      </w:r>
      <w:r>
        <w:rPr>
          <w:rFonts w:ascii="Consolas" w:hAnsi="Consolas"/>
          <w:sz w:val="19"/>
          <w:highlight w:val="yellow"/>
          <w:shd w:val="clear" w:fill="F2F2F2"/>
        </w:rPr>
        <w:t>Activity</w:t>
      </w:r>
      <w:r>
        <w:t>.</w:t>
      </w:r>
    </w:p>
    <w:p>
      <w:pPr>
        <w:pStyle w:val="ListBullet"/>
      </w:pPr>
      <w:r>
        <w:t xml:space="preserve">Enclosing the whole path in </w:t>
      </w:r>
      <w:r>
        <w:rPr>
          <w:rFonts w:ascii="Consolas" w:hAnsi="Consolas"/>
          <w:sz w:val="19"/>
          <w:highlight w:val="yellow"/>
          <w:shd w:val="clear" w:fill="F2F2F2"/>
        </w:rPr>
        <w:t>&lt;...&gt;</w:t>
      </w:r>
      <w:r>
        <w:t xml:space="preserve"> (also accepted: </w:t>
      </w:r>
      <w:r>
        <w:rPr>
          <w:rFonts w:ascii="Consolas" w:hAnsi="Consolas"/>
          <w:sz w:val="19"/>
          <w:highlight w:val="yellow"/>
          <w:shd w:val="clear" w:fill="F2F2F2"/>
        </w:rPr>
        <w:t>{...}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(...)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[...]</w:t>
      </w:r>
      <w:r>
        <w:t>) switches from "set a leaf's text" to "control how many times a repeated element/element group occurs":</w:t>
      </w:r>
    </w:p>
    <w:p>
      <w:pPr>
        <w:pStyle w:val="ListBullet2"/>
      </w:pPr>
      <w:r>
        <w:rPr>
          <w:rFonts w:ascii="Consolas" w:hAnsi="Consolas"/>
          <w:sz w:val="19"/>
          <w:highlight w:val="yellow"/>
          <w:shd w:val="clear" w:fill="F2F2F2"/>
        </w:rPr>
        <w:t>&lt;Claim.Activity.Observation&gt;=0</w:t>
      </w:r>
      <w:r>
        <w:t xml:space="preserve"> — </w:t>
      </w:r>
      <w:r>
        <w:rPr>
          <w:b/>
        </w:rPr>
        <w:t>delete</w:t>
      </w:r>
      <w:r>
        <w:t xml:space="preserve"> that element (occurrence count 0). Used to simulate the element being entirely absent, e.g. "No Observation Present".</w:t>
      </w:r>
    </w:p>
    <w:p>
      <w:pPr>
        <w:pStyle w:val="ListBullet2"/>
      </w:pPr>
      <w:r>
        <w:rPr>
          <w:rFonts w:ascii="Consolas" w:hAnsi="Consolas"/>
          <w:sz w:val="19"/>
          <w:highlight w:val="yellow"/>
          <w:shd w:val="clear" w:fill="F2F2F2"/>
        </w:rPr>
        <w:t>&lt;Claim.Activity.Diagnosis&gt;=3</w:t>
      </w:r>
      <w:r>
        <w:t xml:space="preserve"> — ensure that element occurs 3 times (clones it from a freshly generated instance of the same transaction template as needed).</w:t>
      </w:r>
    </w:p>
    <w:p>
      <w:pPr>
        <w:pStyle w:val="ListBullet2"/>
      </w:pPr>
      <w:r>
        <w:rPr>
          <w:rFonts w:ascii="Consolas" w:hAnsi="Consolas"/>
          <w:sz w:val="19"/>
          <w:highlight w:val="yellow"/>
          <w:shd w:val="clear" w:fill="F2F2F2"/>
        </w:rPr>
        <w:t>&lt;Claim.Activity.Diagnosis&gt;=1</w:t>
      </w:r>
      <w:r>
        <w:t xml:space="preserve"> — asserts the element exists (no-op multiplier).</w:t>
      </w:r>
    </w:p>
    <w:p>
      <w:r>
        <w:rPr>
          <w:b/>
        </w:rPr>
        <w:t>Leaf value syntax</w:t>
      </w:r>
      <w:r>
        <w:t xml:space="preserve"> (right-hand side of a plain </w:t>
      </w:r>
      <w:r>
        <w:rPr>
          <w:rFonts w:ascii="Consolas" w:hAnsi="Consolas"/>
          <w:sz w:val="19"/>
          <w:highlight w:val="yellow"/>
          <w:shd w:val="clear" w:fill="F2F2F2"/>
        </w:rPr>
        <w:t>path=value</w:t>
      </w:r>
      <w:r>
        <w:t xml:space="preserve"> pair):</w:t>
      </w:r>
    </w:p>
    <w:p>
      <w:pPr>
        <w:pStyle w:val="ListBullet"/>
      </w:pPr>
      <w:r>
        <w:t>A literal string/number — used verbatim as the element's text.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&lt;empty&gt;</w:t>
      </w:r>
      <w:r>
        <w:t xml:space="preserve"> (or </w:t>
      </w:r>
      <w:r>
        <w:rPr>
          <w:rFonts w:ascii="Consolas" w:hAnsi="Consolas"/>
          <w:sz w:val="19"/>
          <w:highlight w:val="yellow"/>
          <w:shd w:val="clear" w:fill="F2F2F2"/>
        </w:rPr>
        <w:t>{empty}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(empty)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[empty]</w:t>
      </w:r>
      <w:r>
        <w:t>) — sets the element's text to an explicit empty string. Distinct from deleting the element entirely.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{{FUNCTION(args)}}</w:t>
      </w:r>
      <w:r>
        <w:t xml:space="preserve"> or </w:t>
      </w:r>
      <w:r>
        <w:rPr>
          <w:rFonts w:ascii="Consolas" w:hAnsi="Consolas"/>
          <w:sz w:val="19"/>
          <w:highlight w:val="yellow"/>
          <w:shd w:val="clear" w:fill="F2F2F2"/>
        </w:rPr>
        <w:t>{{VAR.name}}</w:t>
      </w:r>
      <w:r>
        <w:t xml:space="preserve"> etc. — evaluated through the variable processor, see §5.3. Can be embedded inside a larger literal, e.g. </w:t>
      </w:r>
      <w:r>
        <w:rPr>
          <w:rFonts w:ascii="Consolas" w:hAnsi="Consolas"/>
          <w:sz w:val="19"/>
          <w:highlight w:val="yellow"/>
          <w:shd w:val="clear" w:fill="F2F2F2"/>
        </w:rPr>
        <w:t>MF3505-{{CUSTOM.generate_numbers_id()}}</w:t>
      </w:r>
      <w:r>
        <w:t>.</w:t>
      </w:r>
    </w:p>
    <w:p>
      <w:pPr>
        <w:pStyle w:val="ListBullet"/>
      </w:pPr>
      <w:r>
        <w:t xml:space="preserve">Inside a </w:t>
      </w:r>
      <w:r>
        <w:rPr>
          <w:rFonts w:ascii="Consolas" w:hAnsi="Consolas"/>
          <w:sz w:val="19"/>
          <w:highlight w:val="yellow"/>
          <w:shd w:val="clear" w:fill="F2F2F2"/>
        </w:rPr>
        <w:t>{{...}}</w:t>
      </w:r>
      <w:r>
        <w:t xml:space="preserve"> function call whose args reference the field's own *current* value, the bare word </w:t>
      </w:r>
      <w:r>
        <w:rPr>
          <w:rFonts w:ascii="Consolas" w:hAnsi="Consolas"/>
          <w:sz w:val="19"/>
          <w:highlight w:val="yellow"/>
          <w:shd w:val="clear" w:fill="F2F2F2"/>
        </w:rPr>
        <w:t>value</w:t>
      </w:r>
      <w:r>
        <w:t xml:space="preserve"> is substituted with the current text before evaluation.</w:t>
      </w:r>
    </w:p>
    <w:p>
      <w:r>
        <w:rPr>
          <w:b/>
        </w:rPr>
        <w:t>Occurrences of `&lt;Path&gt;=0` vs plain deletion</w:t>
      </w:r>
      <w:r>
        <w:t>: use this to test "rule fires when element X is missing" scenarios — much more common than trying to author a raw XML with the element physically absent.</w:t>
      </w:r>
    </w:p>
    <w:p>
      <w:pPr>
        <w:pStyle w:val="Heading2"/>
      </w:pPr>
      <w:r>
        <w:t>5.2 `Precondition` — per-step live data for prerequisite steps in the chain</w:t>
      </w:r>
    </w:p>
    <w:p>
      <w:r>
        <w:t xml:space="preserve">Only meaningful for transactions whose chain has multiple steps and whose </w:t>
      </w:r>
      <w:r>
        <w:rPr>
          <w:rFonts w:ascii="Consolas" w:hAnsi="Consolas"/>
          <w:sz w:val="19"/>
          <w:highlight w:val="yellow"/>
          <w:shd w:val="clear" w:fill="F2F2F2"/>
        </w:rPr>
        <w:t>RequestMapper</w:t>
      </w:r>
      <w:r>
        <w:t xml:space="preserve"> subclass supports per-step live data (the "Yes" column in </w:t>
      </w:r>
      <w:r>
        <w:rPr>
          <w:rFonts w:ascii="Consolas" w:hAnsi="Consolas"/>
          <w:sz w:val="19"/>
          <w:highlight w:val="yellow"/>
          <w:shd w:val="clear" w:fill="F2F2F2"/>
        </w:rPr>
        <w:t>docs/request_mapper_transaction_flows.md</w:t>
      </w:r>
      <w:r>
        <w:t xml:space="preserve">'s summary table — the whole </w:t>
      </w:r>
      <w:r>
        <w:rPr>
          <w:rFonts w:ascii="Consolas" w:hAnsi="Consolas"/>
          <w:sz w:val="19"/>
          <w:highlight w:val="yellow"/>
          <w:shd w:val="clear" w:fill="F2F2F2"/>
        </w:rPr>
        <w:t>ClaimChecker</w:t>
      </w:r>
      <w:r>
        <w:t xml:space="preserve"> family, notably). Format: semicolon-delimited entries, each </w:t>
      </w:r>
      <w:r>
        <w:rPr>
          <w:rFonts w:ascii="Consolas" w:hAnsi="Consolas"/>
          <w:sz w:val="19"/>
          <w:highlight w:val="yellow"/>
          <w:shd w:val="clear" w:fill="F2F2F2"/>
        </w:rPr>
        <w:t>StepPrefix.path=value</w:t>
      </w:r>
      <w:r>
        <w:t xml:space="preserve"> (same path/value syntax as §5.1, applied to that *prerequisite* step's template instead of the final one):</w:t>
      </w:r>
    </w:p>
    <w:p>
      <w:pPr>
        <w:ind w:left="432"/>
        <w:shd w:val="clear" w:fill="F2F2F2"/>
      </w:pPr>
      <w:r>
        <w:rPr>
          <w:rFonts w:ascii="Consolas" w:hAnsi="Consolas"/>
          <w:sz w:val="18"/>
        </w:rPr>
        <w:t>PersonRegister.PersonalDetails.FirstName=Ali;PriorRequest.Activity.Net=100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StepPrefix</w:t>
      </w:r>
      <w:r>
        <w:t xml:space="preserve"> is one of the </w:t>
      </w:r>
      <w:r>
        <w:rPr>
          <w:rFonts w:ascii="Consolas" w:hAnsi="Consolas"/>
          <w:sz w:val="19"/>
          <w:highlight w:val="yellow"/>
          <w:shd w:val="clear" w:fill="F2F2F2"/>
        </w:rPr>
        <w:t>RequestPrefix</w:t>
      </w:r>
      <w:r>
        <w:t xml:space="preserve"> enum values: </w:t>
      </w:r>
      <w:r>
        <w:rPr>
          <w:rFonts w:ascii="Consolas" w:hAnsi="Consolas"/>
          <w:sz w:val="19"/>
          <w:highlight w:val="yellow"/>
          <w:shd w:val="clear" w:fill="F2F2F2"/>
        </w:rPr>
        <w:t>PersonRegister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PriorRequest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PriorAuthorization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ClaimSubmission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RemittanceAdvice</w:t>
      </w:r>
      <w:r>
        <w:t>, plus family-specific ones (</w:t>
      </w:r>
      <w:r>
        <w:rPr>
          <w:rFonts w:ascii="Consolas" w:hAnsi="Consolas"/>
          <w:sz w:val="19"/>
          <w:highlight w:val="yellow"/>
          <w:shd w:val="clear" w:fill="F2F2F2"/>
        </w:rPr>
        <w:t>ClaimChecker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ClaimCheckerNoRemittance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ClaimCheckerSelfPay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RemittanceAdviceTkbk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CostSubmission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PayForQuality</w:t>
      </w:r>
      <w:r>
        <w:t>).</w:t>
      </w:r>
    </w:p>
    <w:p>
      <w:pPr>
        <w:pStyle w:val="ListBullet"/>
      </w:pPr>
      <w:r>
        <w:t xml:space="preserve">For a step that occurs twice in the same chain (e.g. </w:t>
      </w:r>
      <w:r>
        <w:rPr>
          <w:rFonts w:ascii="Consolas" w:hAnsi="Consolas"/>
          <w:sz w:val="19"/>
          <w:highlight w:val="yellow"/>
          <w:shd w:val="clear" w:fill="F2F2F2"/>
        </w:rPr>
        <w:t>PersonCorrectedClaimChecker</w:t>
      </w:r>
      <w:r>
        <w:t xml:space="preserve">'s 2nd registration), disambiguate with a </w:t>
      </w:r>
      <w:r>
        <w:rPr>
          <w:rFonts w:ascii="Consolas" w:hAnsi="Consolas"/>
          <w:sz w:val="19"/>
          <w:highlight w:val="yellow"/>
          <w:shd w:val="clear" w:fill="F2F2F2"/>
        </w:rPr>
        <w:t>[2]</w:t>
      </w:r>
      <w:r>
        <w:t xml:space="preserve"> suffix: </w:t>
      </w:r>
      <w:r>
        <w:rPr>
          <w:rFonts w:ascii="Consolas" w:hAnsi="Consolas"/>
          <w:sz w:val="19"/>
          <w:highlight w:val="yellow"/>
          <w:shd w:val="clear" w:fill="F2F2F2"/>
        </w:rPr>
        <w:t>PersonRegister[2].path=value</w:t>
      </w:r>
      <w:r>
        <w:t xml:space="preserve">. A bare (unsuffixed) prefix is an alias for </w:t>
      </w:r>
      <w:r>
        <w:rPr>
          <w:rFonts w:ascii="Consolas" w:hAnsi="Consolas"/>
          <w:sz w:val="19"/>
          <w:highlight w:val="yellow"/>
          <w:shd w:val="clear" w:fill="F2F2F2"/>
        </w:rPr>
        <w:t>[1]</w:t>
      </w:r>
      <w:r>
        <w:t xml:space="preserve"> (the first occurrence).</w:t>
      </w:r>
    </w:p>
    <w:p>
      <w:pPr>
        <w:pStyle w:val="ListBullet"/>
      </w:pPr>
      <w:r>
        <w:t xml:space="preserve">Any entry whose prefix doesn't match a step that actually exists in this transaction's chain raises an error at request-build time ("Unconsumed precondition entries") — only target steps that are actually present per </w:t>
      </w:r>
      <w:r>
        <w:rPr>
          <w:rFonts w:ascii="Consolas" w:hAnsi="Consolas"/>
          <w:sz w:val="19"/>
          <w:highlight w:val="yellow"/>
          <w:shd w:val="clear" w:fill="F2F2F2"/>
        </w:rPr>
        <w:t>request_mapper_transaction_flows.md</w:t>
      </w:r>
      <w:r>
        <w:t>.</w:t>
      </w:r>
    </w:p>
    <w:p>
      <w:pPr>
        <w:pStyle w:val="ListBullet"/>
      </w:pPr>
      <w:r>
        <w:t>For the non-chained "API-style" transactions (</w:t>
      </w:r>
      <w:r>
        <w:rPr>
          <w:rFonts w:ascii="Consolas" w:hAnsi="Consolas"/>
          <w:sz w:val="19"/>
          <w:highlight w:val="yellow"/>
          <w:shd w:val="clear" w:fill="F2F2F2"/>
        </w:rPr>
        <w:t>search transactions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get new transactions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download transaction file</w:t>
      </w:r>
      <w:r>
        <w:t xml:space="preserve">, etc.), </w:t>
      </w:r>
      <w:r>
        <w:rPr>
          <w:rFonts w:ascii="Consolas" w:hAnsi="Consolas"/>
          <w:sz w:val="19"/>
          <w:highlight w:val="yellow"/>
          <w:shd w:val="clear" w:fill="F2F2F2"/>
        </w:rPr>
        <w:t>Precondition</w:t>
      </w:r>
      <w:r>
        <w:t xml:space="preserve"> has a *different* meaning: it's a newline-delimited list where the </w:t>
      </w:r>
      <w:r>
        <w:rPr>
          <w:b/>
        </w:rPr>
        <w:t>last</w:t>
      </w:r>
      <w:r>
        <w:t xml:space="preserve"> line names a prerequisite transaction to run and pull identifiers from (e.g. </w:t>
      </w:r>
      <w:r>
        <w:rPr>
          <w:rFonts w:ascii="Consolas" w:hAnsi="Consolas"/>
          <w:sz w:val="19"/>
          <w:highlight w:val="yellow"/>
          <w:shd w:val="clear" w:fill="F2F2F2"/>
        </w:rPr>
        <w:t>TransactionID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SenderID</w:t>
      </w:r>
      <w:r>
        <w:t xml:space="preserve">) — everything above the last line becomes *that* prerequisite transaction's own </w:t>
      </w:r>
      <w:r>
        <w:rPr>
          <w:rFonts w:ascii="Consolas" w:hAnsi="Consolas"/>
          <w:sz w:val="19"/>
          <w:highlight w:val="yellow"/>
          <w:shd w:val="clear" w:fill="F2F2F2"/>
        </w:rPr>
        <w:t>Precondition</w:t>
      </w:r>
      <w:r>
        <w:t xml:space="preserve">. Leave </w:t>
      </w:r>
      <w:r>
        <w:rPr>
          <w:rFonts w:ascii="Consolas" w:hAnsi="Consolas"/>
          <w:sz w:val="19"/>
          <w:highlight w:val="yellow"/>
          <w:shd w:val="clear" w:fill="F2F2F2"/>
        </w:rPr>
        <w:t>Test Data</w:t>
      </w:r>
      <w:r>
        <w:t xml:space="preserve"> on these rows for overriding the search/download request itself, not the prerequisite.</w:t>
      </w:r>
    </w:p>
    <w:p>
      <w:pPr>
        <w:pStyle w:val="Heading2"/>
      </w:pPr>
      <w:r>
        <w:t>5.3 Variable functions (usable in `Test Data`, `Precondition`, `Raw_XML_*`, `Variable_Definitions`)</w:t>
      </w:r>
    </w:p>
    <w:p>
      <w:r>
        <w:t xml:space="preserve">All are </w:t>
      </w:r>
      <w:r>
        <w:rPr>
          <w:rFonts w:ascii="Consolas" w:hAnsi="Consolas"/>
          <w:sz w:val="19"/>
          <w:highlight w:val="yellow"/>
          <w:shd w:val="clear" w:fill="F2F2F2"/>
        </w:rPr>
        <w:t>{{...}}</w:t>
      </w:r>
      <w:r>
        <w:t>-wrapped. Multiple can appear in one value; evaluated left to right.</w:t>
      </w:r>
    </w:p>
    <w:p>
      <w:r>
        <w:rPr>
          <w:b/>
        </w:rPr>
        <w:t>Built-in</w:t>
      </w:r>
      <w:r>
        <w:t xml:space="preserve"> (</w:t>
      </w:r>
      <w:r>
        <w:rPr>
          <w:rFonts w:ascii="Consolas" w:hAnsi="Consolas"/>
          <w:sz w:val="19"/>
          <w:highlight w:val="yellow"/>
          <w:shd w:val="clear" w:fill="F2F2F2"/>
        </w:rPr>
        <w:t>utils/variable_processor.py::evaluate_builtin_function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Function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DATE(fmt)</w:t>
            </w:r>
          </w:p>
        </w:tc>
        <w:tc>
          <w:tcPr>
            <w:tcW w:type="dxa" w:w="4824"/>
          </w:tcPr>
          <w:p>
            <w:r/>
            <w:r>
              <w:t xml:space="preserve">Current date.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fmt</w:t>
            </w:r>
            <w:r>
              <w:t xml:space="preserve"> uses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YYYY</w:t>
            </w:r>
            <w:r>
              <w:t>/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MM</w:t>
            </w:r>
            <w:r>
              <w:t>/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DD</w:t>
            </w:r>
            <w:r>
              <w:t>/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HH</w:t>
            </w:r>
            <w:r>
              <w:t>/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mm</w:t>
            </w:r>
            <w:r>
              <w:t>/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ss</w:t>
            </w:r>
            <w:r>
              <w:t xml:space="preserve"> tokens (default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YYYY-MM-DD</w:t>
            </w:r>
            <w:r>
              <w:t>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DATETIME(fmt)</w:t>
            </w:r>
          </w:p>
        </w:tc>
        <w:tc>
          <w:tcPr>
            <w:tcW w:type="dxa" w:w="4824"/>
          </w:tcPr>
          <w:p>
            <w:r/>
            <w:r>
              <w:t xml:space="preserve">Same, default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YYYY-MM-DD HH:mm:ss</w:t>
            </w:r>
            <w:r>
              <w:t>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DATE_ADD(days, fmt)</w:t>
            </w:r>
            <w:r>
              <w:t xml:space="preserve"> /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DATE_SUB(days, fmt)</w:t>
            </w:r>
          </w:p>
        </w:tc>
        <w:tc>
          <w:tcPr>
            <w:tcW w:type="dxa" w:w="4824"/>
          </w:tcPr>
          <w:p>
            <w:r/>
            <w:r>
              <w:t>Date offset from now.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RANDOM(min, max)</w:t>
            </w:r>
          </w:p>
        </w:tc>
        <w:tc>
          <w:tcPr>
            <w:tcW w:type="dxa" w:w="4824"/>
          </w:tcPr>
          <w:p>
            <w:r/>
            <w:r>
              <w:t>Random int.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RANDOM_DECIMAL(min, max, decimals)</w:t>
            </w:r>
          </w:p>
        </w:tc>
        <w:tc>
          <w:tcPr>
            <w:tcW w:type="dxa" w:w="4824"/>
          </w:tcPr>
          <w:p>
            <w:r/>
            <w:r>
              <w:t>Random float.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RANDOM_STRING(length, type)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type</w:t>
            </w:r>
            <w:r>
              <w:t xml:space="preserve"> ∈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ALPHANUMERIC</w:t>
            </w:r>
            <w:r>
              <w:t>/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LETTERS</w:t>
            </w:r>
            <w:r>
              <w:t>/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UPPERCASE</w:t>
            </w:r>
            <w:r>
              <w:t>/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LOWERCASE</w:t>
            </w:r>
            <w:r>
              <w:t>/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DIGITS</w:t>
            </w:r>
            <w:r>
              <w:t>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UUID(style)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style='short'</w:t>
            </w:r>
            <w:r>
              <w:t xml:space="preserve"> → first UUID segment only.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SEQUENCE(key, start, prefix, fmt)</w:t>
            </w:r>
          </w:p>
        </w:tc>
        <w:tc>
          <w:tcPr>
            <w:tcW w:type="dxa" w:w="4824"/>
          </w:tcPr>
          <w:p>
            <w:r/>
            <w:r>
              <w:t xml:space="preserve">Auto-incrementing counter per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key</w:t>
            </w:r>
            <w:r>
              <w:t>, scoped to the batch run.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RUN_ID()</w:t>
            </w:r>
          </w:p>
        </w:tc>
        <w:tc>
          <w:tcPr>
            <w:tcW w:type="dxa" w:w="4824"/>
          </w:tcPr>
          <w:p>
            <w:r/>
            <w:r>
              <w:t>The batch's run ID.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TIMESTAMP()</w:t>
            </w:r>
            <w:r>
              <w:t xml:space="preserve"> /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NOW(fmt)</w:t>
            </w:r>
          </w:p>
        </w:tc>
        <w:tc>
          <w:tcPr>
            <w:tcW w:type="dxa" w:w="4824"/>
          </w:tcPr>
          <w:p>
            <w:r/>
            <w:r>
              <w:t>Current epoch / formatted now.</w:t>
            </w:r>
          </w:p>
        </w:tc>
      </w:tr>
    </w:tbl>
    <w:p/>
    <w:p>
      <w:r>
        <w:rPr>
          <w:b/>
        </w:rPr>
        <w:t>Custom</w:t>
      </w:r>
      <w:r>
        <w:t xml:space="preserve"> (</w:t>
      </w:r>
      <w:r>
        <w:rPr>
          <w:rFonts w:ascii="Consolas" w:hAnsi="Consolas"/>
          <w:sz w:val="19"/>
          <w:highlight w:val="yellow"/>
          <w:shd w:val="clear" w:fill="F2F2F2"/>
        </w:rPr>
        <w:t>functions/custom_functions.py</w:t>
      </w:r>
      <w:r>
        <w:t xml:space="preserve"> — loaded once per worker process; add new ones there if a generator you need doesn't exist yet). Highlights relevant to authoring healthcare test data: </w:t>
      </w:r>
      <w:r>
        <w:rPr>
          <w:rFonts w:ascii="Consolas" w:hAnsi="Consolas"/>
          <w:sz w:val="19"/>
          <w:highlight w:val="yellow"/>
          <w:shd w:val="clear" w:fill="F2F2F2"/>
        </w:rPr>
        <w:t>generate_numbers_id(prefix, length)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generate_claim_id(prefix)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generate_person_data(type)</w:t>
      </w:r>
      <w:r>
        <w:t xml:space="preserve"> (type ∈ </w:t>
      </w:r>
      <w:r>
        <w:rPr>
          <w:rFonts w:ascii="Consolas" w:hAnsi="Consolas"/>
          <w:sz w:val="19"/>
          <w:highlight w:val="yellow"/>
          <w:shd w:val="clear" w:fill="F2F2F2"/>
        </w:rPr>
        <w:t>phone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passport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email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emirates_id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emirates_unified_number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member_id</w:t>
      </w:r>
      <w:r>
        <w:t xml:space="preserve">/ </w:t>
      </w:r>
      <w:r>
        <w:rPr>
          <w:rFonts w:ascii="Consolas" w:hAnsi="Consolas"/>
          <w:sz w:val="19"/>
          <w:highlight w:val="yellow"/>
          <w:shd w:val="clear" w:fill="F2F2F2"/>
        </w:rPr>
        <w:t>nationality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location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emirate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first_name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last_name</w:t>
      </w:r>
      <w:r>
        <w:t xml:space="preserve">), </w:t>
      </w:r>
      <w:r>
        <w:rPr>
          <w:rFonts w:ascii="Consolas" w:hAnsi="Consolas"/>
          <w:sz w:val="19"/>
          <w:highlight w:val="yellow"/>
          <w:shd w:val="clear" w:fill="F2F2F2"/>
        </w:rPr>
        <w:t>generate_dob(min_age)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get_dob_for_age(age)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get_random_icd_code(is_expired)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get_random_icd9_diagnosis_code()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get_random_icd10_diagnosis_code()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get_random_cpt_code()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get_random_hcpcs_code()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get_random_service_code()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get_random_uscls_code()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get_random_drg_code()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get_random_loinc()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get_random_tooth_numbering()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get_random_dha_license()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get_random_moh_license()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get_random_haad_license()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get_random_ne_facility_license()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get_random_facility_license()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get_random_facility_license_number_by_status(status)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get_random_clinician_license()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get_clinician_license_starting_with(major, profession, category)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get_clinician_license_containing(...)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get_random_denial_code(status)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get_random_encounter_type()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get_random_diagnosis_type()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get_random_code_type()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get_random_observation_type()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add_months_to_current_date(months, days, fmt)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subtract_months_from_current_date(...)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get_image_as_base64(image_name)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zip_xml_templates_as_base64(template1, template2)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add_to_number(value, amount)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sub_from_number(...)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convert_to_uppercase(value)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remove_chars(value, n)</w:t>
      </w:r>
      <w:r>
        <w:t xml:space="preserve">. Most of these read from lookup files under </w:t>
      </w:r>
      <w:r>
        <w:rPr>
          <w:rFonts w:ascii="Consolas" w:hAnsi="Consolas"/>
          <w:sz w:val="19"/>
          <w:highlight w:val="yellow"/>
          <w:shd w:val="clear" w:fill="F2F2F2"/>
        </w:rPr>
        <w:t>resources/</w:t>
      </w:r>
      <w:r>
        <w:t xml:space="preserve"> (ICD/CPT/HCPCS/DRG/LOINC code lists, license lists, etc.) — use them instead of hardcoding a plausible-looking code, since hardcoded values may not exist/be active in the target environment and the rule may depend on that.</w:t>
      </w:r>
    </w:p>
    <w:p>
      <w:r>
        <w:rPr>
          <w:b/>
        </w:rPr>
        <w:t>Prefixed forms</w:t>
      </w:r>
      <w:r>
        <w:t>: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{{VAR.name}}</w:t>
      </w:r>
      <w:r>
        <w:t xml:space="preserve"> — read a previously-declared variable (see </w:t>
      </w:r>
      <w:r>
        <w:rPr>
          <w:rFonts w:ascii="Consolas" w:hAnsi="Consolas"/>
          <w:sz w:val="19"/>
          <w:highlight w:val="yellow"/>
          <w:shd w:val="clear" w:fill="F2F2F2"/>
        </w:rPr>
        <w:t>Variable_Definitions</w:t>
      </w:r>
      <w:r>
        <w:t xml:space="preserve"> column, or a </w:t>
      </w:r>
      <w:r>
        <w:rPr>
          <w:rFonts w:ascii="Consolas" w:hAnsi="Consolas"/>
          <w:sz w:val="19"/>
          <w:highlight w:val="yellow"/>
          <w:shd w:val="clear" w:fill="F2F2F2"/>
        </w:rPr>
        <w:t>VAR(name).</w:t>
      </w:r>
      <w:r>
        <w:t xml:space="preserve"> assignment elsewhere in the same row).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{{VAR(name).CUSTOM.func(...)}}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{{VAR(name).builtin_func(...)}}</w:t>
      </w:r>
      <w:r>
        <w:t xml:space="preserve"> — evaluate and </w:t>
      </w:r>
      <w:r>
        <w:rPr>
          <w:b/>
        </w:rPr>
        <w:t>also</w:t>
      </w:r>
      <w:r>
        <w:t xml:space="preserve"> store the result under </w:t>
      </w:r>
      <w:r>
        <w:rPr>
          <w:rFonts w:ascii="Consolas" w:hAnsi="Consolas"/>
          <w:sz w:val="19"/>
          <w:highlight w:val="yellow"/>
          <w:shd w:val="clear" w:fill="F2F2F2"/>
        </w:rPr>
        <w:t>name</w:t>
      </w:r>
      <w:r>
        <w:t xml:space="preserve"> for later </w:t>
      </w:r>
      <w:r>
        <w:rPr>
          <w:rFonts w:ascii="Consolas" w:hAnsi="Consolas"/>
          <w:sz w:val="19"/>
          <w:highlight w:val="yellow"/>
          <w:shd w:val="clear" w:fill="F2F2F2"/>
        </w:rPr>
        <w:t>{{VAR.name}}</w:t>
      </w:r>
      <w:r>
        <w:t xml:space="preserve"> references later in the same row.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{{CUSTOM.func(args)}}</w:t>
      </w:r>
      <w:r>
        <w:t xml:space="preserve"> — call a function from </w:t>
      </w:r>
      <w:r>
        <w:rPr>
          <w:rFonts w:ascii="Consolas" w:hAnsi="Consolas"/>
          <w:sz w:val="19"/>
          <w:highlight w:val="yellow"/>
          <w:shd w:val="clear" w:fill="F2F2F2"/>
        </w:rPr>
        <w:t>functions/custom_functions.py</w:t>
      </w:r>
      <w:r>
        <w:t xml:space="preserve"> directly.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{{EXTRACT.name}}</w:t>
      </w:r>
      <w:r>
        <w:t xml:space="preserve"> — a value previously extracted from a response (§9, Assertion-tab dependency chains only).</w:t>
      </w:r>
    </w:p>
    <w:p>
      <w:pPr>
        <w:pStyle w:val="Heading1"/>
      </w:pPr>
      <w:r>
        <w:t>6. `Objective (Expected Result)` — what gets asserted (Batch)</w:t>
      </w:r>
    </w:p>
    <w:p>
      <w:r>
        <w:t>The first word (case-insensitive) selects the assertion path: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</w:rPr>
              <w:t>Starts with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Behavior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Pass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assert_error_doesnt_exist</w:t>
            </w:r>
            <w:r>
              <w:t xml:space="preserve"> — the rule (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Rule ID</w:t>
            </w:r>
            <w:r>
              <w:t xml:space="preserve">) must </w:t>
            </w:r>
            <w:r>
              <w:rPr>
                <w:b/>
              </w:rPr>
              <w:t>not</w:t>
            </w:r>
            <w:r>
              <w:t xml:space="preserve"> appear in the response's error report.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Fail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assert_error_exists(..., expected_type=ERROR)</w:t>
            </w:r>
            <w:r>
              <w:t xml:space="preserve"> — the rule must appear as an </w:t>
            </w:r>
            <w:r>
              <w:rPr>
                <w:b/>
              </w:rPr>
              <w:t>ERROR</w:t>
            </w:r>
            <w:r>
              <w:t xml:space="preserve"> row.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Warning</w:t>
            </w:r>
          </w:p>
        </w:tc>
        <w:tc>
          <w:tcPr>
            <w:tcW w:type="dxa" w:w="4824"/>
          </w:tcPr>
          <w:p>
            <w:r/>
            <w:r>
              <w:t xml:space="preserve">Same, but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expected_type=WARNING</w:t>
            </w:r>
            <w:r>
              <w:t>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Notification</w:t>
            </w:r>
          </w:p>
        </w:tc>
        <w:tc>
          <w:tcPr>
            <w:tcW w:type="dxa" w:w="4824"/>
          </w:tcPr>
          <w:p>
            <w:r/>
            <w:r>
              <w:t xml:space="preserve">Same, but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expected_type=NOTIFICATION</w:t>
            </w:r>
            <w:r>
              <w:t xml:space="preserve"> (also tolerates a success response code, since notifications don't flip the overall status).</w:t>
            </w:r>
          </w:p>
        </w:tc>
      </w:tr>
      <w:tr>
        <w:tc>
          <w:tcPr>
            <w:tcW w:type="dxa" w:w="4824"/>
          </w:tcPr>
          <w:p>
            <w:r/>
            <w:r>
              <w:t>*(anything else)*</w:t>
            </w:r>
          </w:p>
        </w:tc>
        <w:tc>
          <w:tcPr>
            <w:tcW w:type="dxa" w:w="4824"/>
          </w:tcPr>
          <w:p>
            <w:r/>
            <w:r>
              <w:t xml:space="preserve">Falls through to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custom_assert</w:t>
            </w:r>
            <w:r>
              <w:t xml:space="preserve"> — a free-form, line-based mini-DSL (see below). Each non-empty line of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Objective</w:t>
            </w:r>
            <w:r>
              <w:t xml:space="preserve"> is evaluated independently; unrecognized lines fail the test.</w:t>
            </w:r>
          </w:p>
        </w:tc>
      </w:tr>
    </w:tbl>
    <w:p/>
    <w:p>
      <w:r>
        <w:rPr>
          <w:rFonts w:ascii="Consolas" w:hAnsi="Consolas"/>
          <w:sz w:val="19"/>
          <w:highlight w:val="yellow"/>
          <w:shd w:val="clear" w:fill="F2F2F2"/>
        </w:rPr>
        <w:t>custom_assert</w:t>
      </w:r>
      <w:r>
        <w:t xml:space="preserve"> line formats (each is one line inside the </w:t>
      </w:r>
      <w:r>
        <w:rPr>
          <w:rFonts w:ascii="Consolas" w:hAnsi="Consolas"/>
          <w:sz w:val="19"/>
          <w:highlight w:val="yellow"/>
          <w:shd w:val="clear" w:fill="F2F2F2"/>
        </w:rPr>
        <w:t>Objective</w:t>
      </w:r>
      <w:r>
        <w:t xml:space="preserve"> cell):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ErrorCode - &lt;code&gt;</w:t>
      </w:r>
      <w:r>
        <w:t xml:space="preserve"> — response's overall error code must equal </w:t>
      </w:r>
      <w:r>
        <w:rPr>
          <w:rFonts w:ascii="Consolas" w:hAnsi="Consolas"/>
          <w:sz w:val="19"/>
          <w:highlight w:val="yellow"/>
          <w:shd w:val="clear" w:fill="F2F2F2"/>
        </w:rPr>
        <w:t>&lt;code&gt;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ErrorReport - Col1=Val1;Col2=Val2</w:t>
      </w:r>
      <w:r>
        <w:t xml:space="preserve"> — at least one row in the decoded error report must match all given column/value pairs.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Response matches xml template - &lt;filename.xml&gt;</w:t>
      </w:r>
      <w:r>
        <w:t xml:space="preserve"> — the raw response XML must equal (structurally, via </w:t>
      </w:r>
      <w:r>
        <w:rPr>
          <w:rFonts w:ascii="Consolas" w:hAnsi="Consolas"/>
          <w:sz w:val="19"/>
          <w:highlight w:val="yellow"/>
          <w:shd w:val="clear" w:fill="F2F2F2"/>
        </w:rPr>
        <w:t>ET.tostring</w:t>
      </w:r>
      <w:r>
        <w:t xml:space="preserve">) the named file under </w:t>
      </w:r>
      <w:r>
        <w:rPr>
          <w:rFonts w:ascii="Consolas" w:hAnsi="Consolas"/>
          <w:sz w:val="19"/>
          <w:highlight w:val="yellow"/>
          <w:shd w:val="clear" w:fill="F2F2F2"/>
        </w:rPr>
        <w:t>xml_templates/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No errors</w:t>
      </w:r>
      <w:r>
        <w:t xml:space="preserve"> — response error report must contain no </w:t>
      </w:r>
      <w:r>
        <w:rPr>
          <w:rFonts w:ascii="Consolas" w:hAnsi="Consolas"/>
          <w:sz w:val="19"/>
          <w:highlight w:val="yellow"/>
          <w:shd w:val="clear" w:fill="F2F2F2"/>
        </w:rPr>
        <w:t>ERROR</w:t>
      </w:r>
      <w:r>
        <w:t>-typed rows.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Error - &lt;message&gt;</w:t>
      </w:r>
      <w:r>
        <w:t xml:space="preserve"> — the response's </w:t>
      </w:r>
      <w:r>
        <w:rPr>
          <w:rFonts w:ascii="Consolas" w:hAnsi="Consolas"/>
          <w:sz w:val="19"/>
          <w:highlight w:val="yellow"/>
          <w:shd w:val="clear" w:fill="F2F2F2"/>
        </w:rPr>
        <w:t>errorMessage</w:t>
      </w:r>
      <w:r>
        <w:t xml:space="preserve"> element must equal </w:t>
      </w:r>
      <w:r>
        <w:rPr>
          <w:rFonts w:ascii="Consolas" w:hAnsi="Consolas"/>
          <w:sz w:val="19"/>
          <w:highlight w:val="yellow"/>
          <w:shd w:val="clear" w:fill="F2F2F2"/>
        </w:rPr>
        <w:t>&lt;message&gt;</w:t>
      </w:r>
      <w:r>
        <w:t xml:space="preserve"> (supports </w:t>
      </w:r>
      <w:r>
        <w:rPr>
          <w:rFonts w:ascii="Consolas" w:hAnsi="Consolas"/>
          <w:sz w:val="19"/>
          <w:highlight w:val="yellow"/>
          <w:shd w:val="clear" w:fill="F2F2F2"/>
        </w:rPr>
        <w:t>{{TEMPLATE.path}}</w:t>
      </w:r>
      <w:r>
        <w:t xml:space="preserve"> substitution from the request template).</w:t>
      </w:r>
    </w:p>
    <w:p>
      <w:r>
        <w:t xml:space="preserve">When using </w:t>
      </w:r>
      <w:r>
        <w:rPr>
          <w:rFonts w:ascii="Consolas" w:hAnsi="Consolas"/>
          <w:sz w:val="19"/>
          <w:highlight w:val="yellow"/>
          <w:shd w:val="clear" w:fill="F2F2F2"/>
        </w:rPr>
        <w:t>Pass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Fail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Warning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Notification</w:t>
      </w:r>
      <w:r>
        <w:t xml:space="preserve">, always also fill in </w:t>
      </w:r>
      <w:r>
        <w:rPr>
          <w:rFonts w:ascii="Consolas" w:hAnsi="Consolas"/>
          <w:sz w:val="19"/>
          <w:highlight w:val="yellow"/>
          <w:shd w:val="clear" w:fill="F2F2F2"/>
        </w:rPr>
        <w:t>Rule ID</w:t>
      </w:r>
      <w:r>
        <w:t xml:space="preserve"> (required to look up the row) and — when the relevant CLI flags are enabled — </w:t>
      </w:r>
      <w:r>
        <w:rPr>
          <w:rFonts w:ascii="Consolas" w:hAnsi="Consolas"/>
          <w:sz w:val="19"/>
          <w:highlight w:val="yellow"/>
          <w:shd w:val="clear" w:fill="F2F2F2"/>
        </w:rPr>
        <w:t>Error Text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Object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Element</w:t>
      </w:r>
      <w:r>
        <w:t>.</w:t>
      </w:r>
    </w:p>
    <w:p>
      <w:pPr>
        <w:pStyle w:val="Heading2"/>
      </w:pPr>
      <w:r>
        <w:t>6.1 `Objective` for Assertion-tab rows</w:t>
      </w:r>
    </w:p>
    <w:p>
      <w:r>
        <w:t xml:space="preserve">For </w:t>
      </w:r>
      <w:r>
        <w:rPr>
          <w:rFonts w:ascii="Consolas" w:hAnsi="Consolas"/>
          <w:sz w:val="19"/>
          <w:highlight w:val="yellow"/>
          <w:shd w:val="clear" w:fill="F2F2F2"/>
        </w:rPr>
        <w:t>Transaction Type</w:t>
      </w:r>
      <w:r>
        <w:t xml:space="preserve"> in the "search/API-style" family (</w:t>
      </w:r>
      <w:r>
        <w:rPr>
          <w:rFonts w:ascii="Consolas" w:hAnsi="Consolas"/>
          <w:sz w:val="19"/>
          <w:highlight w:val="yellow"/>
          <w:shd w:val="clear" w:fill="F2F2F2"/>
        </w:rPr>
        <w:t>search transactions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get new prior authorization transactions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get new transactions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download transaction file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set transaction downloaded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get claim count reconciliation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get person insurance history</w:t>
      </w:r>
      <w:r>
        <w:t>), the Assertion runner (</w:t>
      </w:r>
      <w:r>
        <w:rPr>
          <w:rFonts w:ascii="Consolas" w:hAnsi="Consolas"/>
          <w:sz w:val="19"/>
          <w:highlight w:val="yellow"/>
          <w:shd w:val="clear" w:fill="F2F2F2"/>
        </w:rPr>
        <w:t>utils/assertion_allure_wrapper.py</w:t>
      </w:r>
      <w:r>
        <w:t xml:space="preserve"> → </w:t>
      </w:r>
      <w:r>
        <w:rPr>
          <w:rFonts w:ascii="Consolas" w:hAnsi="Consolas"/>
          <w:sz w:val="19"/>
          <w:highlight w:val="yellow"/>
          <w:shd w:val="clear" w:fill="F2F2F2"/>
        </w:rPr>
        <w:t>CustomAsserterContext</w:t>
      </w:r>
      <w:r>
        <w:t>) recognizes a different line-based vocabulary instead: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Retrieved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Found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Transaction Found</w:t>
      </w:r>
      <w:r>
        <w:t xml:space="preserve"> (and close variants) — assert the prerequisite transaction is present in the search/list response, with FileName/SenderID/ReceiverID/ RecordCount/TransactionDate/Timestamp all matching and </w:t>
      </w:r>
      <w:r>
        <w:rPr>
          <w:rFonts w:ascii="Consolas" w:hAnsi="Consolas"/>
          <w:sz w:val="19"/>
          <w:highlight w:val="yellow"/>
          <w:shd w:val="clear" w:fill="F2F2F2"/>
        </w:rPr>
        <w:t>IsDownloaded=False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Retrieved Downloaded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Found Downloaded</w:t>
      </w:r>
      <w:r>
        <w:t xml:space="preserve"> — same, but asserts </w:t>
      </w:r>
      <w:r>
        <w:rPr>
          <w:rFonts w:ascii="Consolas" w:hAnsi="Consolas"/>
          <w:sz w:val="19"/>
          <w:highlight w:val="yellow"/>
          <w:shd w:val="clear" w:fill="F2F2F2"/>
        </w:rPr>
        <w:t>IsDownloaded=True</w:t>
      </w:r>
      <w:r>
        <w:t xml:space="preserve"> and every field must match exactly (strict variant).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New Transaction Retrieved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New Transaction Found</w:t>
      </w:r>
      <w:r>
        <w:t xml:space="preserve"> — same shape but for </w:t>
      </w:r>
      <w:r>
        <w:rPr>
          <w:rFonts w:ascii="Consolas" w:hAnsi="Consolas"/>
          <w:sz w:val="19"/>
          <w:highlight w:val="yellow"/>
          <w:shd w:val="clear" w:fill="F2F2F2"/>
        </w:rPr>
        <w:t>get new transactions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New Prior Auth Retrieved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New Prior Auth Found</w:t>
      </w:r>
      <w:r>
        <w:t xml:space="preserve"> — same shape but for </w:t>
      </w:r>
      <w:r>
        <w:rPr>
          <w:rFonts w:ascii="Consolas" w:hAnsi="Consolas"/>
          <w:sz w:val="19"/>
          <w:highlight w:val="yellow"/>
          <w:shd w:val="clear" w:fill="F2F2F2"/>
        </w:rPr>
        <w:t>get new prior authorization transactions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Not Found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Not Retrieved</w:t>
      </w:r>
      <w:r>
        <w:t xml:space="preserve"> — asserts the prerequisite transaction's ID does </w:t>
      </w:r>
      <w:r>
        <w:rPr>
          <w:b/>
        </w:rPr>
        <w:t>not</w:t>
      </w:r>
      <w:r>
        <w:t xml:space="preserve"> appear.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Downloaded</w:t>
      </w:r>
      <w:r>
        <w:t xml:space="preserve"> — asserts the downloaded file content (base64, decoded) equals the built template.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Set Downloaded</w:t>
      </w:r>
      <w:r>
        <w:t xml:space="preserve"> — asserts </w:t>
      </w:r>
      <w:r>
        <w:rPr>
          <w:rFonts w:ascii="Consolas" w:hAnsi="Consolas"/>
          <w:sz w:val="19"/>
          <w:highlight w:val="yellow"/>
          <w:shd w:val="clear" w:fill="F2F2F2"/>
        </w:rPr>
        <w:t>SetTransactionDownloadedResult</w:t>
      </w:r>
      <w:r>
        <w:t xml:space="preserve"> code is </w:t>
      </w:r>
      <w:r>
        <w:rPr>
          <w:rFonts w:ascii="Consolas" w:hAnsi="Consolas"/>
          <w:sz w:val="19"/>
          <w:highlight w:val="yellow"/>
          <w:shd w:val="clear" w:fill="F2F2F2"/>
        </w:rPr>
        <w:t>0</w:t>
      </w:r>
      <w:r>
        <w:t xml:space="preserve"> with empty error message.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Report Generated</w:t>
      </w:r>
      <w:r>
        <w:t xml:space="preserve"> — for reconciliation: asserts result code </w:t>
      </w:r>
      <w:r>
        <w:rPr>
          <w:rFonts w:ascii="Consolas" w:hAnsi="Consolas"/>
          <w:sz w:val="19"/>
          <w:highlight w:val="yellow"/>
          <w:shd w:val="clear" w:fill="F2F2F2"/>
        </w:rPr>
        <w:t>0</w:t>
      </w:r>
      <w:r>
        <w:t xml:space="preserve">, message </w:t>
      </w:r>
      <w:r>
        <w:rPr>
          <w:rFonts w:ascii="Consolas" w:hAnsi="Consolas"/>
          <w:sz w:val="19"/>
          <w:highlight w:val="yellow"/>
          <w:shd w:val="clear" w:fill="F2F2F2"/>
        </w:rPr>
        <w:t>Operation is successful</w:t>
      </w:r>
      <w:r>
        <w:t xml:space="preserve">, and that </w:t>
      </w:r>
      <w:r>
        <w:rPr>
          <w:rFonts w:ascii="Consolas" w:hAnsi="Consolas"/>
          <w:sz w:val="19"/>
          <w:highlight w:val="yellow"/>
          <w:shd w:val="clear" w:fill="F2F2F2"/>
        </w:rPr>
        <w:t>uploadCount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downloadCount</w:t>
      </w:r>
      <w:r>
        <w:t xml:space="preserve"> are present and numeric.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Element - &lt;tag&gt; = &lt;expected&gt;</w:t>
      </w:r>
      <w:r>
        <w:t xml:space="preserve"> — generic single-element equality check against the response; </w:t>
      </w:r>
      <w:r>
        <w:rPr>
          <w:rFonts w:ascii="Consolas" w:hAnsi="Consolas"/>
          <w:sz w:val="19"/>
          <w:highlight w:val="yellow"/>
          <w:shd w:val="clear" w:fill="F2F2F2"/>
        </w:rPr>
        <w:t>&lt;tag&gt;</w:t>
      </w:r>
      <w:r>
        <w:t xml:space="preserve"> also supports </w:t>
      </w:r>
      <w:r>
        <w:rPr>
          <w:rFonts w:ascii="Consolas" w:hAnsi="Consolas"/>
          <w:sz w:val="19"/>
          <w:highlight w:val="yellow"/>
          <w:shd w:val="clear" w:fill="F2F2F2"/>
        </w:rPr>
        <w:t>ParentTag[filterChild=filterValue].childTag</w:t>
      </w:r>
      <w:r>
        <w:t xml:space="preserve"> filtered lookup.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File Found - key1=val1;key2=val2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File Not Found - ...</w:t>
      </w:r>
      <w:r>
        <w:t xml:space="preserve"> — for </w:t>
      </w:r>
      <w:r>
        <w:rPr>
          <w:rFonts w:ascii="Consolas" w:hAnsi="Consolas"/>
          <w:sz w:val="19"/>
          <w:highlight w:val="yellow"/>
          <w:shd w:val="clear" w:fill="F2F2F2"/>
        </w:rPr>
        <w:t>get person insurance history</w:t>
      </w:r>
      <w:r>
        <w:t xml:space="preserve">: asserts a </w:t>
      </w:r>
      <w:r>
        <w:rPr>
          <w:rFonts w:ascii="Consolas" w:hAnsi="Consolas"/>
          <w:sz w:val="19"/>
          <w:highlight w:val="yellow"/>
          <w:shd w:val="clear" w:fill="F2F2F2"/>
        </w:rPr>
        <w:t>File</w:t>
      </w:r>
      <w:r>
        <w:t xml:space="preserve"> entry in </w:t>
      </w:r>
      <w:r>
        <w:rPr>
          <w:rFonts w:ascii="Consolas" w:hAnsi="Consolas"/>
          <w:sz w:val="19"/>
          <w:highlight w:val="yellow"/>
          <w:shd w:val="clear" w:fill="F2F2F2"/>
        </w:rPr>
        <w:t>PersonInsuranceDetails</w:t>
      </w:r>
      <w:r>
        <w:t xml:space="preserve"> matching (or not matching) the given attribute filters exists. Supports </w:t>
      </w:r>
      <w:r>
        <w:rPr>
          <w:rFonts w:ascii="Consolas" w:hAnsi="Consolas"/>
          <w:sz w:val="19"/>
          <w:highlight w:val="yellow"/>
          <w:shd w:val="clear" w:fill="F2F2F2"/>
        </w:rPr>
        <w:t>{{TEMPLATE.path}}</w:t>
      </w:r>
      <w:r>
        <w:t xml:space="preserve"> in the filter values.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ErrorCode - &lt;code&gt;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Error - &lt;message&gt;</w:t>
      </w:r>
      <w:r>
        <w:t xml:space="preserve"> — same idea as the Batch DSL, adapted per-transaction (looks up </w:t>
      </w:r>
      <w:r>
        <w:rPr>
          <w:rFonts w:ascii="Consolas" w:hAnsi="Consolas"/>
          <w:sz w:val="19"/>
          <w:highlight w:val="yellow"/>
          <w:shd w:val="clear" w:fill="F2F2F2"/>
        </w:rPr>
        <w:t>&lt;TransactionTypeTitleCase&gt;Result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errorMessage</w:t>
      </w:r>
      <w:r>
        <w:t>).</w:t>
      </w:r>
    </w:p>
    <w:p>
      <w:r>
        <w:t xml:space="preserve">Any </w:t>
      </w:r>
      <w:r>
        <w:rPr>
          <w:rFonts w:ascii="Consolas" w:hAnsi="Consolas"/>
          <w:sz w:val="19"/>
          <w:highlight w:val="yellow"/>
          <w:shd w:val="clear" w:fill="F2F2F2"/>
        </w:rPr>
        <w:t>Transaction Type</w:t>
      </w:r>
      <w:r>
        <w:t xml:space="preserve"> </w:t>
      </w:r>
      <w:r>
        <w:rPr>
          <w:b/>
        </w:rPr>
        <w:t>not</w:t>
      </w:r>
      <w:r>
        <w:t xml:space="preserve"> in that search/API family falls back to </w:t>
      </w:r>
      <w:r>
        <w:rPr>
          <w:rFonts w:ascii="Consolas" w:hAnsi="Consolas"/>
          <w:sz w:val="19"/>
          <w:highlight w:val="yellow"/>
          <w:shd w:val="clear" w:fill="F2F2F2"/>
        </w:rPr>
        <w:t>DefaultTransactionsStrategy</w:t>
      </w:r>
      <w:r>
        <w:t xml:space="preserve">, which raises for every one of these lines — i.e. plain chained transactions (Person Register, Claim Submission, etc.) are not valid </w:t>
      </w:r>
      <w:r>
        <w:rPr>
          <w:rFonts w:ascii="Consolas" w:hAnsi="Consolas"/>
          <w:sz w:val="19"/>
          <w:highlight w:val="yellow"/>
          <w:shd w:val="clear" w:fill="F2F2F2"/>
        </w:rPr>
        <w:t>Transaction Type</w:t>
      </w:r>
      <w:r>
        <w:t xml:space="preserve"> values for Assertion-tab rows.</w:t>
      </w:r>
    </w:p>
    <w:p>
      <w:pPr>
        <w:pStyle w:val="Heading1"/>
      </w:pPr>
      <w:r>
        <w:t>7. `Error Text` (and error-message assertions generally) — dynamic value substitution</w:t>
      </w:r>
    </w:p>
    <w:p>
      <w:r>
        <w:rPr>
          <w:rFonts w:ascii="Consolas" w:hAnsi="Consolas"/>
          <w:sz w:val="19"/>
          <w:highlight w:val="yellow"/>
          <w:shd w:val="clear" w:fill="F2F2F2"/>
        </w:rPr>
        <w:t>Error Text</w:t>
      </w:r>
      <w:r>
        <w:t xml:space="preserve"> (and any </w:t>
      </w:r>
      <w:r>
        <w:rPr>
          <w:rFonts w:ascii="Consolas" w:hAnsi="Consolas"/>
          <w:sz w:val="19"/>
          <w:highlight w:val="yellow"/>
          <w:shd w:val="clear" w:fill="F2F2F2"/>
        </w:rPr>
        <w:t>Error - ...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ErrorReport - ...</w:t>
      </w:r>
      <w:r>
        <w:t xml:space="preserve"> custom-assert line, and </w:t>
      </w:r>
      <w:r>
        <w:rPr>
          <w:rFonts w:ascii="Consolas" w:hAnsi="Consolas"/>
          <w:sz w:val="19"/>
          <w:highlight w:val="yellow"/>
          <w:shd w:val="clear" w:fill="F2F2F2"/>
        </w:rPr>
        <w:t>File Found - ...</w:t>
      </w:r>
      <w:r>
        <w:t xml:space="preserve"> filters) is run through </w:t>
      </w:r>
      <w:r>
        <w:rPr>
          <w:rFonts w:ascii="Consolas" w:hAnsi="Consolas"/>
          <w:sz w:val="19"/>
          <w:highlight w:val="yellow"/>
          <w:shd w:val="clear" w:fill="F2F2F2"/>
        </w:rPr>
        <w:t>ErrorTextProcessor</w:t>
      </w:r>
      <w:r>
        <w:t>, which resolves: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{{TEMPLATE.dot.path}}</w:t>
      </w:r>
      <w:r>
        <w:t xml:space="preserve"> — pulls the *actual* value that ended up in the request-under-test XML at that path (namespace-agnostic dot path, same as </w:t>
      </w:r>
      <w:r>
        <w:rPr>
          <w:rFonts w:ascii="Consolas" w:hAnsi="Consolas"/>
          <w:sz w:val="19"/>
          <w:highlight w:val="yellow"/>
          <w:shd w:val="clear" w:fill="F2F2F2"/>
        </w:rPr>
        <w:t>Test Data</w:t>
      </w:r>
      <w:r>
        <w:t xml:space="preserve"> paths, supports </w:t>
      </w:r>
      <w:r>
        <w:rPr>
          <w:rFonts w:ascii="Consolas" w:hAnsi="Consolas"/>
          <w:sz w:val="19"/>
          <w:highlight w:val="yellow"/>
          <w:shd w:val="clear" w:fill="F2F2F2"/>
        </w:rPr>
        <w:t>Element[N]</w:t>
      </w:r>
      <w:r>
        <w:t xml:space="preserve"> ordering) — use this instead of hardcoding a value that's generated dynamically (e.g. a </w:t>
      </w:r>
      <w:r>
        <w:rPr>
          <w:rFonts w:ascii="Consolas" w:hAnsi="Consolas"/>
          <w:sz w:val="19"/>
          <w:highlight w:val="yellow"/>
          <w:shd w:val="clear" w:fill="F2F2F2"/>
        </w:rPr>
        <w:t>{{CUSTOM...}}</w:t>
      </w:r>
      <w:r>
        <w:t>-generated code), so the expected text always matches what was actually sent.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{{PRE_TEMPLATE.StepName.dot.path}}</w:t>
      </w:r>
      <w:r>
        <w:t xml:space="preserve"> — same, but reaches into a </w:t>
      </w:r>
      <w:r>
        <w:rPr>
          <w:b/>
        </w:rPr>
        <w:t>prerequisite</w:t>
      </w:r>
      <w:r>
        <w:t xml:space="preserve"> step's template by its flow label (only available when </w:t>
      </w:r>
      <w:r>
        <w:rPr>
          <w:rFonts w:ascii="Consolas" w:hAnsi="Consolas"/>
          <w:sz w:val="19"/>
          <w:highlight w:val="yellow"/>
          <w:shd w:val="clear" w:fill="F2F2F2"/>
        </w:rPr>
        <w:t>template_flow</w:t>
      </w:r>
      <w:r>
        <w:t xml:space="preserve"> is populated, i.e. full-scenario mode with a chain that records step labels).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{{CUSTOM.func(...)}}</w:t>
      </w:r>
      <w:r>
        <w:t xml:space="preserve"> / any builtin function — evaluated the same as in </w:t>
      </w:r>
      <w:r>
        <w:rPr>
          <w:rFonts w:ascii="Consolas" w:hAnsi="Consolas"/>
          <w:sz w:val="19"/>
          <w:highlight w:val="yellow"/>
          <w:shd w:val="clear" w:fill="F2F2F2"/>
        </w:rPr>
        <w:t>Test Data</w:t>
      </w:r>
      <w:r>
        <w:t xml:space="preserve">, with </w:t>
      </w:r>
      <w:r>
        <w:rPr>
          <w:rFonts w:ascii="Consolas" w:hAnsi="Consolas"/>
          <w:sz w:val="19"/>
          <w:highlight w:val="yellow"/>
          <w:shd w:val="clear" w:fill="F2F2F2"/>
        </w:rPr>
        <w:t>TEMPLATE.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PRE_TEMPLATE.</w:t>
      </w:r>
      <w:r>
        <w:t xml:space="preserve"> references inside the function's arguments also resolved first.</w:t>
      </w:r>
    </w:p>
    <w:p>
      <w:r>
        <w:t xml:space="preserve">Example (real, from </w:t>
      </w:r>
      <w:r>
        <w:rPr>
          <w:rFonts w:ascii="Consolas" w:hAnsi="Consolas"/>
          <w:sz w:val="19"/>
          <w:highlight w:val="yellow"/>
          <w:shd w:val="clear" w:fill="F2F2F2"/>
        </w:rPr>
        <w:t>docs/example_test_cases_sheet.xlsx</w:t>
      </w:r>
      <w:r>
        <w:t>):</w:t>
      </w:r>
    </w:p>
    <w:p>
      <w:pPr>
        <w:ind w:left="432"/>
        <w:shd w:val="clear" w:fill="F2F2F2"/>
      </w:pPr>
      <w:r>
        <w:rPr>
          <w:rFonts w:ascii="Consolas" w:hAnsi="Consolas"/>
          <w:sz w:val="18"/>
        </w:rPr>
        <w:t>Activity requires observation data to be presented: IR-DRG Code {{TEMPLATE.Claim.Activity.Code}} must have observation with File code 'Invoice' with proper value and value type.</w:t>
      </w:r>
    </w:p>
    <w:p>
      <w:pPr>
        <w:pStyle w:val="Heading1"/>
      </w:pPr>
      <w:r>
        <w:t>8. `Scenario Type`, `Priority`, `Rule ID`, `Occurrences` — informational vs. enforced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Rule ID</w:t>
      </w:r>
      <w:r>
        <w:t xml:space="preserve"> is enforced — it's the key looked up in the decoded error report.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Occurrences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Object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Element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Error Text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Field Value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Additional Reference</w:t>
      </w:r>
      <w:r>
        <w:t xml:space="preserve"> are only enforced when the corresponding CLI flag/env var is on (</w:t>
      </w:r>
      <w:r>
        <w:rPr>
          <w:rFonts w:ascii="Consolas" w:hAnsi="Consolas"/>
          <w:sz w:val="19"/>
          <w:highlight w:val="yellow"/>
          <w:shd w:val="clear" w:fill="F2F2F2"/>
        </w:rPr>
        <w:t>--assert-object-element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--assert-error-text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--assert-field-additional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ASSERT_FIELD_ADDITIONAL</w:t>
      </w:r>
      <w:r>
        <w:t xml:space="preserve">), </w:t>
      </w:r>
      <w:r>
        <w:rPr>
          <w:b/>
        </w:rPr>
        <w:t>except</w:t>
      </w:r>
      <w:r>
        <w:t xml:space="preserve"> </w:t>
      </w:r>
      <w:r>
        <w:rPr>
          <w:rFonts w:ascii="Consolas" w:hAnsi="Consolas"/>
          <w:sz w:val="19"/>
          <w:highlight w:val="yellow"/>
          <w:shd w:val="clear" w:fill="F2F2F2"/>
        </w:rPr>
        <w:t>Occurrences</w:t>
      </w:r>
      <w:r>
        <w:t>, which is enforced whenever non-blank regardless of flags.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Scenario Type</w:t>
      </w:r>
      <w:r>
        <w:t xml:space="preserve"> (</w:t>
      </w:r>
      <w:r>
        <w:rPr>
          <w:rFonts w:ascii="Consolas" w:hAnsi="Consolas"/>
          <w:sz w:val="19"/>
          <w:highlight w:val="yellow"/>
          <w:shd w:val="clear" w:fill="F2F2F2"/>
        </w:rPr>
        <w:t>Positive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Negative</w:t>
      </w:r>
      <w:r>
        <w:t xml:space="preserve">) and </w:t>
      </w:r>
      <w:r>
        <w:rPr>
          <w:rFonts w:ascii="Consolas" w:hAnsi="Consolas"/>
          <w:sz w:val="19"/>
          <w:highlight w:val="yellow"/>
          <w:shd w:val="clear" w:fill="F2F2F2"/>
        </w:rPr>
        <w:t>Priority</w:t>
      </w:r>
      <w:r>
        <w:t xml:space="preserve"> are Allure tags/metadata only — free text, not validated against a fixed list, but keep them consistent for reporting/filtering purposes.</w:t>
      </w:r>
    </w:p>
    <w:p>
      <w:pPr>
        <w:pStyle w:val="Heading1"/>
      </w:pPr>
      <w:r>
        <w:t>9. `Dependency` / `Dependency Variables` — chaining Assertion-tab rows</w:t>
      </w:r>
    </w:p>
    <w:p>
      <w:r>
        <w:t>Assertion-tab rows can depend on another row's outcome and reuse values it produced: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Dependency</w:t>
      </w:r>
      <w:r>
        <w:t xml:space="preserve"> = the </w:t>
      </w:r>
      <w:r>
        <w:rPr>
          <w:rFonts w:ascii="Consolas" w:hAnsi="Consolas"/>
          <w:sz w:val="19"/>
          <w:highlight w:val="yellow"/>
          <w:shd w:val="clear" w:fill="F2F2F2"/>
        </w:rPr>
        <w:t>TC ID</w:t>
      </w:r>
      <w:r>
        <w:t xml:space="preserve"> of a prerequisite row. If that row is part of the same run and did not pass, this row is skipped (not failed). Rows are topologically sorted so dependencies run first.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Dependency Variables</w:t>
      </w:r>
      <w:r>
        <w:t xml:space="preserve"> on the </w:t>
      </w:r>
      <w:r>
        <w:rPr>
          <w:b/>
        </w:rPr>
        <w:t>prerequisite</w:t>
      </w:r>
      <w:r>
        <w:t xml:space="preserve"> row (not the dependent one) declares what to extract from its response/template once it passes, one rule per line or </w:t>
      </w:r>
      <w:r>
        <w:rPr>
          <w:rFonts w:ascii="Consolas" w:hAnsi="Consolas"/>
          <w:sz w:val="19"/>
          <w:highlight w:val="yellow"/>
          <w:shd w:val="clear" w:fill="F2F2F2"/>
        </w:rPr>
        <w:t>;</w:t>
      </w:r>
      <w:r>
        <w:t>-separated:</w:t>
      </w:r>
    </w:p>
    <w:p>
      <w:pPr>
        <w:pStyle w:val="ListBullet2"/>
      </w:pPr>
      <w:r>
        <w:rPr>
          <w:rFonts w:ascii="Consolas" w:hAnsi="Consolas"/>
          <w:sz w:val="19"/>
          <w:highlight w:val="yellow"/>
          <w:shd w:val="clear" w:fill="F2F2F2"/>
        </w:rPr>
        <w:t>varName = ElementTag</w:t>
      </w:r>
      <w:r>
        <w:t xml:space="preserve"> — first matching element's text from the response.</w:t>
      </w:r>
    </w:p>
    <w:p>
      <w:pPr>
        <w:pStyle w:val="ListBullet2"/>
      </w:pPr>
      <w:r>
        <w:rPr>
          <w:rFonts w:ascii="Consolas" w:hAnsi="Consolas"/>
          <w:sz w:val="19"/>
          <w:highlight w:val="yellow"/>
          <w:shd w:val="clear" w:fill="F2F2F2"/>
        </w:rPr>
        <w:t>varName = ParentElement[filterChild=filterValue].extractChild</w:t>
      </w:r>
      <w:r>
        <w:t xml:space="preserve"> (supports multiple comma-separated filters) — filtered search over repeated elements in the response.</w:t>
      </w:r>
    </w:p>
    <w:p>
      <w:pPr>
        <w:pStyle w:val="ListBullet2"/>
      </w:pPr>
      <w:r>
        <w:rPr>
          <w:rFonts w:ascii="Consolas" w:hAnsi="Consolas"/>
          <w:sz w:val="19"/>
          <w:highlight w:val="yellow"/>
          <w:shd w:val="clear" w:fill="F2F2F2"/>
        </w:rPr>
        <w:t>varName = TEMPLATE.dot.path</w:t>
      </w:r>
      <w:r>
        <w:t xml:space="preserve"> or </w:t>
      </w:r>
      <w:r>
        <w:rPr>
          <w:rFonts w:ascii="Consolas" w:hAnsi="Consolas"/>
          <w:sz w:val="19"/>
          <w:highlight w:val="yellow"/>
          <w:shd w:val="clear" w:fill="F2F2F2"/>
        </w:rPr>
        <w:t>varName = {{TEMPLATE.dot.path}}</w:t>
      </w:r>
      <w:r>
        <w:t xml:space="preserve"> — pulled from the request template instead of the response.</w:t>
      </w:r>
    </w:p>
    <w:p>
      <w:pPr>
        <w:pStyle w:val="ListBullet"/>
      </w:pPr>
      <w:r>
        <w:t xml:space="preserve">The dependent row then references these via </w:t>
      </w:r>
      <w:r>
        <w:rPr>
          <w:rFonts w:ascii="Consolas" w:hAnsi="Consolas"/>
          <w:sz w:val="19"/>
          <w:highlight w:val="yellow"/>
          <w:shd w:val="clear" w:fill="F2F2F2"/>
        </w:rPr>
        <w:t>{{EXTRACT.varName}}</w:t>
      </w:r>
      <w:r>
        <w:t xml:space="preserve"> inside its own </w:t>
      </w:r>
      <w:r>
        <w:rPr>
          <w:rFonts w:ascii="Consolas" w:hAnsi="Consolas"/>
          <w:sz w:val="19"/>
          <w:highlight w:val="yellow"/>
          <w:shd w:val="clear" w:fill="F2F2F2"/>
        </w:rPr>
        <w:t>Test Data</w:t>
      </w:r>
      <w:r>
        <w:t xml:space="preserve"> or </w:t>
      </w:r>
      <w:r>
        <w:rPr>
          <w:rFonts w:ascii="Consolas" w:hAnsi="Consolas"/>
          <w:sz w:val="19"/>
          <w:highlight w:val="yellow"/>
          <w:shd w:val="clear" w:fill="F2F2F2"/>
        </w:rPr>
        <w:t>Objective</w:t>
      </w:r>
      <w:r>
        <w:t xml:space="preserve"> (including nested inside function calls, e.g. </w:t>
      </w:r>
      <w:r>
        <w:rPr>
          <w:rFonts w:ascii="Consolas" w:hAnsi="Consolas"/>
          <w:sz w:val="19"/>
          <w:highlight w:val="yellow"/>
          <w:shd w:val="clear" w:fill="F2F2F2"/>
        </w:rPr>
        <w:t>{{CUSTOM.add_to_number(EXTRACT.download_count, 1)}}</w:t>
      </w:r>
      <w:r>
        <w:t>).</w:t>
      </w:r>
    </w:p>
    <w:p>
      <w:pPr>
        <w:pStyle w:val="Heading1"/>
      </w:pPr>
      <w:r>
        <w:t>10. Practical checklist for generating a new row</w:t>
      </w:r>
    </w:p>
    <w:p>
      <w:pPr>
        <w:pStyle w:val="ListNumber"/>
      </w:pPr>
      <w:r>
        <w:t xml:space="preserve">Confirm the </w:t>
      </w:r>
      <w:r>
        <w:rPr>
          <w:rFonts w:ascii="Consolas" w:hAnsi="Consolas"/>
          <w:sz w:val="19"/>
          <w:highlight w:val="yellow"/>
          <w:shd w:val="clear" w:fill="F2F2F2"/>
        </w:rPr>
        <w:t>Transaction Type</w:t>
      </w:r>
      <w:r>
        <w:t xml:space="preserve"> value exists in </w:t>
      </w:r>
      <w:r>
        <w:rPr>
          <w:rFonts w:ascii="Consolas" w:hAnsi="Consolas"/>
          <w:sz w:val="19"/>
          <w:highlight w:val="yellow"/>
          <w:shd w:val="clear" w:fill="F2F2F2"/>
        </w:rPr>
        <w:t>RequestsName</w:t>
      </w:r>
      <w:r>
        <w:t xml:space="preserve"> (§4) and read its chain in </w:t>
      </w:r>
      <w:r>
        <w:rPr>
          <w:rFonts w:ascii="Consolas" w:hAnsi="Consolas"/>
          <w:sz w:val="19"/>
          <w:highlight w:val="yellow"/>
          <w:shd w:val="clear" w:fill="F2F2F2"/>
        </w:rPr>
        <w:t>docs/request_mapper_transaction_flows.md</w:t>
      </w:r>
      <w:r>
        <w:t>.</w:t>
      </w:r>
    </w:p>
    <w:p>
      <w:pPr>
        <w:pStyle w:val="ListNumber"/>
      </w:pPr>
      <w:r>
        <w:t xml:space="preserve">Decide </w:t>
      </w:r>
      <w:r>
        <w:rPr>
          <w:rFonts w:ascii="Consolas" w:hAnsi="Consolas"/>
          <w:sz w:val="19"/>
          <w:highlight w:val="yellow"/>
          <w:shd w:val="clear" w:fill="F2F2F2"/>
        </w:rPr>
        <w:t>Objective</w:t>
      </w:r>
      <w:r>
        <w:t xml:space="preserve">: is this a Pass/Fail/Warning/Notification rule check, or a custom-assert line? Fill </w:t>
      </w:r>
      <w:r>
        <w:rPr>
          <w:rFonts w:ascii="Consolas" w:hAnsi="Consolas"/>
          <w:sz w:val="19"/>
          <w:highlight w:val="yellow"/>
          <w:shd w:val="clear" w:fill="F2F2F2"/>
        </w:rPr>
        <w:t>Rule ID</w:t>
      </w:r>
      <w:r>
        <w:t xml:space="preserve"> accordingly (blank only for pure custom-assert rows that don't reference a rule).</w:t>
      </w:r>
    </w:p>
    <w:p>
      <w:pPr>
        <w:pStyle w:val="ListNumber"/>
      </w:pPr>
      <w:r>
        <w:t xml:space="preserve">Write </w:t>
      </w:r>
      <w:r>
        <w:rPr>
          <w:rFonts w:ascii="Consolas" w:hAnsi="Consolas"/>
          <w:sz w:val="19"/>
          <w:highlight w:val="yellow"/>
          <w:shd w:val="clear" w:fill="F2F2F2"/>
        </w:rPr>
        <w:t>Test Data</w:t>
      </w:r>
      <w:r>
        <w:t xml:space="preserve"> to actually trigger (or avoid triggering) the condition: pick the exact field path(s) per §5.1, use </w:t>
      </w:r>
      <w:r>
        <w:rPr>
          <w:rFonts w:ascii="Consolas" w:hAnsi="Consolas"/>
          <w:sz w:val="19"/>
          <w:highlight w:val="yellow"/>
          <w:shd w:val="clear" w:fill="F2F2F2"/>
        </w:rPr>
        <w:t>&lt;Path&gt;=0</w:t>
      </w:r>
      <w:r>
        <w:t xml:space="preserve"> to simulate a missing element, use </w:t>
      </w:r>
      <w:r>
        <w:rPr>
          <w:rFonts w:ascii="Consolas" w:hAnsi="Consolas"/>
          <w:sz w:val="19"/>
          <w:highlight w:val="yellow"/>
          <w:shd w:val="clear" w:fill="F2F2F2"/>
        </w:rPr>
        <w:t>{{CUSTOM...}}</w:t>
      </w:r>
      <w:r>
        <w:t>/other functions from real reference data (§5.3) rather than made-up codes/IDs.</w:t>
      </w:r>
    </w:p>
    <w:p>
      <w:pPr>
        <w:pStyle w:val="ListNumber"/>
      </w:pPr>
      <w:r>
        <w:t xml:space="preserve">If the rule targets a prerequisite step's data rather than the final request, use </w:t>
      </w:r>
      <w:r>
        <w:rPr>
          <w:rFonts w:ascii="Consolas" w:hAnsi="Consolas"/>
          <w:sz w:val="19"/>
          <w:highlight w:val="yellow"/>
          <w:shd w:val="clear" w:fill="F2F2F2"/>
        </w:rPr>
        <w:t>Precondition</w:t>
      </w:r>
      <w:r>
        <w:t xml:space="preserve"> with the right </w:t>
      </w:r>
      <w:r>
        <w:rPr>
          <w:rFonts w:ascii="Consolas" w:hAnsi="Consolas"/>
          <w:sz w:val="19"/>
          <w:highlight w:val="yellow"/>
          <w:shd w:val="clear" w:fill="F2F2F2"/>
        </w:rPr>
        <w:t>RequestPrefix</w:t>
      </w:r>
      <w:r>
        <w:t xml:space="preserve"> (§5.2) — check first that the chain actually has that step.</w:t>
      </w:r>
    </w:p>
    <w:p>
      <w:pPr>
        <w:pStyle w:val="ListNumber"/>
      </w:pPr>
      <w:r>
        <w:t xml:space="preserve">Fill </w:t>
      </w:r>
      <w:r>
        <w:rPr>
          <w:rFonts w:ascii="Consolas" w:hAnsi="Consolas"/>
          <w:sz w:val="19"/>
          <w:highlight w:val="yellow"/>
          <w:shd w:val="clear" w:fill="F2F2F2"/>
        </w:rPr>
        <w:t>Object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Element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Error Text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Occurrences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Field Value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Additional Reference</w:t>
      </w:r>
      <w:r>
        <w:t xml:space="preserve"> to match what the real system is expected to report for that rule (use </w:t>
      </w:r>
      <w:r>
        <w:rPr>
          <w:rFonts w:ascii="Consolas" w:hAnsi="Consolas"/>
          <w:sz w:val="19"/>
          <w:highlight w:val="yellow"/>
          <w:shd w:val="clear" w:fill="F2F2F2"/>
        </w:rPr>
        <w:t>{{TEMPLATE.path}}</w:t>
      </w:r>
      <w:r>
        <w:t xml:space="preserve"> for any value that was itself dynamically generated in step 3, so the expectation self-updates).</w:t>
      </w:r>
    </w:p>
    <w:p>
      <w:pPr>
        <w:pStyle w:val="ListNumber"/>
      </w:pPr>
      <w:r>
        <w:t xml:space="preserve">Give it a unique, descriptive </w:t>
      </w:r>
      <w:r>
        <w:rPr>
          <w:rFonts w:ascii="Consolas" w:hAnsi="Consolas"/>
          <w:sz w:val="19"/>
          <w:highlight w:val="yellow"/>
          <w:shd w:val="clear" w:fill="F2F2F2"/>
        </w:rPr>
        <w:t>TC ID</w:t>
      </w:r>
      <w:r>
        <w:t xml:space="preserve"> and a </w:t>
      </w:r>
      <w:r>
        <w:rPr>
          <w:rFonts w:ascii="Consolas" w:hAnsi="Consolas"/>
          <w:sz w:val="19"/>
          <w:highlight w:val="yellow"/>
          <w:shd w:val="clear" w:fill="F2F2F2"/>
        </w:rPr>
        <w:t>Name</w:t>
      </w:r>
      <w:r>
        <w:t xml:space="preserve"> that documents the scenario (existing sheets use </w:t>
      </w:r>
      <w:r>
        <w:rPr>
          <w:rFonts w:ascii="Consolas" w:hAnsi="Consolas"/>
          <w:sz w:val="19"/>
          <w:highlight w:val="yellow"/>
          <w:shd w:val="clear" w:fill="F2F2F2"/>
        </w:rPr>
        <w:t>TransactionType | Rule-&lt;id&gt; | &lt;short scenario name&gt;</w:t>
      </w:r>
      <w:r>
        <w:t>).</w:t>
      </w:r>
    </w:p>
    <w:p>
      <w:pPr>
        <w:pStyle w:val="ListNumber"/>
      </w:pPr>
      <w:r>
        <w:t xml:space="preserve">Mimic an existing row for the same rule/transaction where possible — </w:t>
      </w:r>
      <w:r>
        <w:rPr>
          <w:rFonts w:ascii="Consolas" w:hAnsi="Consolas"/>
          <w:sz w:val="19"/>
          <w:highlight w:val="yellow"/>
          <w:shd w:val="clear" w:fill="F2F2F2"/>
        </w:rPr>
        <w:t>docs/example_test_cases_sheet.xlsx</w:t>
      </w:r>
      <w:r>
        <w:t xml:space="preserve"> (sheet </w:t>
      </w:r>
      <w:r>
        <w:rPr>
          <w:rFonts w:ascii="Consolas" w:hAnsi="Consolas"/>
          <w:sz w:val="19"/>
          <w:highlight w:val="yellow"/>
          <w:shd w:val="clear" w:fill="F2F2F2"/>
        </w:rPr>
        <w:t>Routine-Reporting</w:t>
      </w:r>
      <w:r>
        <w:t>) has real examples end to end.</w:t>
      </w:r>
    </w:p>
    <w:p>
      <w:pPr>
        <w:pStyle w:val="Heading1"/>
      </w:pPr>
      <w:r>
        <w:t>11. Appendix: XML template field reference</w:t>
      </w:r>
    </w:p>
    <w:p>
      <w:r>
        <w:t xml:space="preserve">This section documents the actual field shapes under </w:t>
      </w:r>
      <w:r>
        <w:rPr>
          <w:rFonts w:ascii="Consolas" w:hAnsi="Consolas"/>
          <w:sz w:val="19"/>
          <w:highlight w:val="yellow"/>
          <w:shd w:val="clear" w:fill="F2F2F2"/>
        </w:rPr>
        <w:t>xml_templates/*.xml</w:t>
      </w:r>
      <w:r>
        <w:t xml:space="preserve"> so </w:t>
      </w:r>
      <w:r>
        <w:rPr>
          <w:rFonts w:ascii="Consolas" w:hAnsi="Consolas"/>
          <w:sz w:val="19"/>
          <w:highlight w:val="yellow"/>
          <w:shd w:val="clear" w:fill="F2F2F2"/>
        </w:rPr>
        <w:t>Test Data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Precondition</w:t>
      </w:r>
      <w:r>
        <w:t xml:space="preserve"> paths can be written without opening each file. </w:t>
      </w:r>
      <w:r>
        <w:rPr>
          <w:b/>
        </w:rPr>
        <w:t>The root element tag itself is never part of the path</w:t>
      </w:r>
      <w:r>
        <w:t xml:space="preserve"> — a path always starts from the root's immediate children (e.g. for </w:t>
      </w:r>
      <w:r>
        <w:rPr>
          <w:rFonts w:ascii="Consolas" w:hAnsi="Consolas"/>
          <w:sz w:val="19"/>
          <w:highlight w:val="yellow"/>
          <w:shd w:val="clear" w:fill="F2F2F2"/>
        </w:rPr>
        <w:t>claim_submission_template.xml</w:t>
      </w:r>
      <w:r>
        <w:t xml:space="preserve">, whose root is </w:t>
      </w:r>
      <w:r>
        <w:rPr>
          <w:rFonts w:ascii="Consolas" w:hAnsi="Consolas"/>
          <w:sz w:val="19"/>
          <w:highlight w:val="yellow"/>
          <w:shd w:val="clear" w:fill="F2F2F2"/>
        </w:rPr>
        <w:t>&lt;Claim.Submission&gt;</w:t>
      </w:r>
      <w:r>
        <w:t xml:space="preserve">, a path starts with </w:t>
      </w:r>
      <w:r>
        <w:rPr>
          <w:rFonts w:ascii="Consolas" w:hAnsi="Consolas"/>
          <w:sz w:val="19"/>
          <w:highlight w:val="yellow"/>
          <w:shd w:val="clear" w:fill="F2F2F2"/>
        </w:rPr>
        <w:t>Header.</w:t>
      </w:r>
      <w:r>
        <w:t xml:space="preserve"> or </w:t>
      </w:r>
      <w:r>
        <w:rPr>
          <w:rFonts w:ascii="Consolas" w:hAnsi="Consolas"/>
          <w:sz w:val="19"/>
          <w:highlight w:val="yellow"/>
          <w:shd w:val="clear" w:fill="F2F2F2"/>
        </w:rPr>
        <w:t>Claim.</w:t>
      </w:r>
      <w:r>
        <w:t xml:space="preserve">, never </w:t>
      </w:r>
      <w:r>
        <w:rPr>
          <w:rFonts w:ascii="Consolas" w:hAnsi="Consolas"/>
          <w:sz w:val="19"/>
          <w:highlight w:val="yellow"/>
          <w:shd w:val="clear" w:fill="F2F2F2"/>
        </w:rPr>
        <w:t>Claim.Submission.Header.</w:t>
      </w:r>
      <w:r>
        <w:t>).</w:t>
      </w:r>
    </w:p>
    <w:p>
      <w:pPr>
        <w:pStyle w:val="Heading2"/>
      </w:pPr>
      <w:r>
        <w:t>11.1 Domain-style templates (chained transactions: Person Register, Prior Request, Prior</w:t>
      </w:r>
    </w:p>
    <w:p>
      <w:r>
        <w:t>Authorization, Claim Submission/Checker/Resubmission, Remittance Advice, Cost Submission/ Resubmission, Pay for Quality)</w:t>
      </w:r>
    </w:p>
    <w:p>
      <w:r>
        <w:t xml:space="preserve">Every one of these starts with the same </w:t>
      </w:r>
      <w:r>
        <w:rPr>
          <w:rFonts w:ascii="Consolas" w:hAnsi="Consolas"/>
          <w:sz w:val="19"/>
          <w:highlight w:val="yellow"/>
          <w:shd w:val="clear" w:fill="F2F2F2"/>
        </w:rPr>
        <w:t>Header</w:t>
      </w:r>
      <w:r>
        <w:t xml:space="preserve"> block:</w:t>
      </w:r>
    </w:p>
    <w:p>
      <w:pPr>
        <w:ind w:left="432"/>
        <w:shd w:val="clear" w:fill="F2F2F2"/>
      </w:pPr>
      <w:r>
        <w:rPr>
          <w:rFonts w:ascii="Consolas" w:hAnsi="Consolas"/>
          <w:sz w:val="18"/>
        </w:rPr>
        <w:t>Header.SenderID</w:t>
        <w:br/>
        <w:t>Header.ReceiverID</w:t>
        <w:br/>
        <w:t>Header.TransactionDate      (default: {{DATE(DD/MM/YYYY)}} HH:mm)</w:t>
        <w:br/>
        <w:t>Header.RecordCount</w:t>
        <w:br/>
        <w:t>Header.DispositionFlag      (default: PRODUCTION)</w:t>
      </w:r>
    </w:p>
    <w:p>
      <w:r>
        <w:t>Root element and main body structure per family (</w:t>
      </w:r>
      <w:r>
        <w:rPr>
          <w:rFonts w:ascii="Consolas" w:hAnsi="Consolas"/>
          <w:sz w:val="19"/>
          <w:highlight w:val="yellow"/>
          <w:shd w:val="clear" w:fill="F2F2F2"/>
        </w:rPr>
        <w:t>element*</w:t>
      </w:r>
      <w:r>
        <w:t xml:space="preserve"> = repeatable — target a later occurrence with </w:t>
      </w:r>
      <w:r>
        <w:rPr>
          <w:rFonts w:ascii="Consolas" w:hAnsi="Consolas"/>
          <w:sz w:val="19"/>
          <w:highlight w:val="yellow"/>
          <w:shd w:val="clear" w:fill="F2F2F2"/>
        </w:rPr>
        <w:t>Element[2]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Element[3]</w:t>
      </w:r>
      <w:r>
        <w:t>, ...; nested blocks shown indented):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b/>
              </w:rPr>
              <w:t>Transaction family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Root tag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Body path</w:t>
            </w:r>
          </w:p>
        </w:tc>
        <w:tc>
          <w:tcPr>
            <w:tcW w:type="dxa" w:w="2412"/>
          </w:tcPr>
          <w:p>
            <w:r/>
            <w:r>
              <w:rPr>
                <w:b/>
              </w:rPr>
              <w:t>Fields (repeatable marked `*`)</w:t>
            </w:r>
          </w:p>
        </w:tc>
      </w:tr>
      <w:tr>
        <w:tc>
          <w:tcPr>
            <w:tcW w:type="dxa" w:w="2412"/>
          </w:tcPr>
          <w:p>
            <w:r/>
            <w:r>
              <w:t>Person Register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Person.Register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Person.*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UnifiedNumber, FirstName, FirstNameEn, MiddleNameEn, LastNameEn, FirstNameAr, MiddleNameAr, LastNameAr, ContactNumber, BirthDate, Gender, Nationality, NationalityCode, City, CityCode, CountryOfResidence, EmirateOfResidence, PassportNumber, EmiratesIDNumber, SponsorNumber, SponsorNameEn, SponsorNameAr, SpecialNationality, Privileges, COCReferenceNumber, BirthCertificateNumber</w:t>
            </w:r>
            <w:r>
              <w:t xml:space="preserve">, then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Member.ID, Member.Relation, Member.RelationTo, Member.RelationToEmiratesIDNumber, Member.RelationToUnifiedNumber</w:t>
            </w:r>
            <w:r>
              <w:t xml:space="preserve">, then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Member.Contract.PayerID, .TPAID, .PackageName, .StartDate, .RenewalDate, .ExpiryDate, .GrossPremium, .PolicyHolder, .CompanyID, .CollectedPremium, .VAT, .VATPercent, .Status</w:t>
            </w:r>
          </w:p>
        </w:tc>
      </w:tr>
      <w:tr>
        <w:tc>
          <w:tcPr>
            <w:tcW w:type="dxa" w:w="2412"/>
          </w:tcPr>
          <w:p>
            <w:r/>
            <w:r>
              <w:t>Prior Request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Prior.Request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Authorization.*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Type, ID, MemberID, PayerID, EmiratesIDNumber, DateOrdered</w:t>
            </w:r>
            <w:r>
              <w:t xml:space="preserve">, then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Encounter.FacilityID, .Type, .Start, .End</w:t>
            </w:r>
            <w:r>
              <w:t xml:space="preserve">, then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Diagnosis*.Type, Diagnosis*.Code, Diagnosis*.DxInfo.Type, Diagnosis*.DxInfo.Code</w:t>
            </w:r>
            <w:r>
              <w:t xml:space="preserve">, then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Activity*.ID, .Start, .Type, .Code, .Quantity, .Net, .OrderingClinician, .Clinician</w:t>
            </w:r>
            <w:r>
              <w:t xml:space="preserve">, then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Activity*.Observation*.Type, .Code, .Value, .ValueType</w:t>
            </w:r>
          </w:p>
        </w:tc>
      </w:tr>
      <w:tr>
        <w:tc>
          <w:tcPr>
            <w:tcW w:type="dxa" w:w="2412"/>
          </w:tcPr>
          <w:p>
            <w:r/>
            <w:r>
              <w:t>Prior Authorization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Prior.Authorization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Authorization.*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Result, ID, IDPayer, DenialCode, Start, End, Limit, Comments</w:t>
            </w:r>
            <w:r>
              <w:t xml:space="preserve">, then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Activity*.ID, .Type, .Code, .Quantity, .Net, .List, .PatientShare, .PaymentAmount, .DenialCode</w:t>
            </w:r>
            <w:r>
              <w:t xml:space="preserve">, then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Activity*.Observation*.Type, .Code, .Value, .ValueType</w:t>
            </w:r>
          </w:p>
        </w:tc>
      </w:tr>
      <w:tr>
        <w:tc>
          <w:tcPr>
            <w:tcW w:type="dxa" w:w="2412"/>
          </w:tcPr>
          <w:p>
            <w:r/>
            <w:r>
              <w:t xml:space="preserve">Claim Submission / Claim Checker / Claim Resubmission (and their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*_multiple*</w:t>
            </w:r>
            <w:r>
              <w:t xml:space="preserve"> /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*_no_remittance</w:t>
            </w:r>
            <w:r>
              <w:t xml:space="preserve"> /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*_selfpay</w:t>
            </w:r>
            <w:r>
              <w:t xml:space="preserve"> /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_to_tpa</w:t>
            </w:r>
            <w:r>
              <w:t xml:space="preserve"> /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_HAAD</w:t>
            </w:r>
            <w:r>
              <w:t xml:space="preserve"> variants)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Claim.Submission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Claim*.*</w:t>
            </w:r>
            <w:r>
              <w:t xml:space="preserve"> (repeatable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Claim</w:t>
            </w:r>
            <w:r>
              <w:t xml:space="preserve"> for the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multiple</w:t>
            </w:r>
            <w:r>
              <w:t xml:space="preserve"> variants)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ID, IDPayer, MemberID, PayerID, ProviderID, EmiratesIDNumber, Gross, PatientShare, Net, VAT</w:t>
            </w:r>
            <w:r>
              <w:t xml:space="preserve">, then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Encounter.FacilityID, .Type, .PatientID, .EligibilityIDPayer, .Start, .End, .StartType, .EndType, .TransferSource, .TransferDestination</w:t>
            </w:r>
            <w:r>
              <w:t xml:space="preserve">, then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Diagnosis*.Type, Diagnosis*.Code, Diagnosis*.DxInfo.Type, Diagnosis*.DxInfo.Code</w:t>
            </w:r>
            <w:r>
              <w:t xml:space="preserve">, then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Activity*.ID, .Start, .Type, .Code, .Quantity, .Net, .OrderingClinician, .Clinician, .PriorAuthorizationID, .VAT, .VATPercent, .DateOrdered</w:t>
            </w:r>
            <w:r>
              <w:t xml:space="preserve">, then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Activity*.Observation*.Type, .Code, .Value, .ValueType</w:t>
            </w:r>
            <w:r>
              <w:t xml:space="preserve">, then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Contract.PackageName</w:t>
            </w:r>
          </w:p>
        </w:tc>
      </w:tr>
      <w:tr>
        <w:tc>
          <w:tcPr>
            <w:tcW w:type="dxa" w:w="2412"/>
          </w:tcPr>
          <w:p>
            <w:r/>
            <w:r>
              <w:t xml:space="preserve">Remittance Advice (and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*_tkbk</w:t>
            </w:r>
            <w:r>
              <w:t xml:space="preserve"> /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_multiple*</w:t>
            </w:r>
            <w:r>
              <w:t xml:space="preserve"> /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_tpa</w:t>
            </w:r>
            <w:r>
              <w:t xml:space="preserve"> /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_HAAD_claim</w:t>
            </w:r>
            <w:r>
              <w:t xml:space="preserve"> variants)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Remittance.Advice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Claim*.*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ID, IDPayer, ProviderID, DenialCode, PaymentReference, DateSettlement</w:t>
            </w:r>
            <w:r>
              <w:t xml:space="preserve">, then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Encounter.FacilityID</w:t>
            </w:r>
            <w:r>
              <w:t xml:space="preserve">, then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Activity*.ID, .Start, .Type, .Code, .Quantity, .Net, .List, .OrderingClinician, .Clinician, .PriorAuthorizationID, .Gross, .PatientShare, .PaymentAmount, .DenialCode</w:t>
            </w:r>
          </w:p>
        </w:tc>
      </w:tr>
      <w:tr>
        <w:tc>
          <w:tcPr>
            <w:tcW w:type="dxa" w:w="2412"/>
          </w:tcPr>
          <w:p>
            <w:r/>
            <w:r>
              <w:t xml:space="preserve">Cost Submission / Cost Resubmission (and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_multiple*</w:t>
            </w:r>
            <w:r>
              <w:t xml:space="preserve"> variants)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Cost.Submission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Claim.*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ID, ProviderID</w:t>
            </w:r>
            <w:r>
              <w:t xml:space="preserve">, then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Encounter.FacilityID, .ID, .PatientID, .Type, .Start, .End, .StartType, .Specialty, .SubSpecialty, .DRGCode, .EndType</w:t>
            </w:r>
            <w:r>
              <w:t xml:space="preserve">, then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Encounter.Diagnosis.Type, .Code</w:t>
            </w:r>
            <w:r>
              <w:t xml:space="preserve">, then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Encounter.Procedure.Type, .Code, .Duration</w:t>
            </w:r>
            <w:r>
              <w:t xml:space="preserve">, then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Encounter.EDTriageLevel, .OPAttendanceType, .TheatreAttendanceFlag, .CriticalCareTime, .VentilationTime</w:t>
            </w:r>
            <w:r>
              <w:t xml:space="preserve">, then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Encounter.CostBucketDirect.&lt;Allied|Anaesthesia|ED|ICU|Imaging|Laboratory|Physician|OP|OR|Other|Pharmacy|Prosthesis|Supplies|SPS|Ward&gt;</w:t>
            </w:r>
            <w:r>
              <w:t xml:space="preserve"> (and the same list again under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Encounter.CostBucketOverheads.*</w:t>
            </w:r>
            <w:r>
              <w:t xml:space="preserve">), then </w:t>
            </w:r>
            <w:r>
              <w:rPr>
                <w:rFonts w:ascii="Consolas" w:hAnsi="Consolas"/>
                <w:sz w:val="19"/>
                <w:highlight w:val="yellow"/>
                <w:shd w:val="clear" w:fill="F2F2F2"/>
              </w:rPr>
              <w:t>Encounter.CostTypeDetails.&lt;SWNurs|SWDoc|SWAllied|SWNonClin|Laboratory|Imaging|Pharmacy|Prostheses|MS|Hotel|GS|Depreciation|OHF|OHC|NABMs&gt;</w:t>
            </w:r>
          </w:p>
        </w:tc>
      </w:tr>
    </w:tbl>
    <w:p/>
    <w:p>
      <w:r>
        <w:t>Notes: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_isolated</w:t>
      </w:r>
      <w:r>
        <w:t xml:space="preserve"> template variants (used automatically under </w:t>
      </w:r>
      <w:r>
        <w:rPr>
          <w:rFonts w:ascii="Consolas" w:hAnsi="Consolas"/>
          <w:sz w:val="19"/>
          <w:highlight w:val="yellow"/>
          <w:shd w:val="clear" w:fill="F2F2F2"/>
        </w:rPr>
        <w:t>--sequence single_api</w:t>
      </w:r>
      <w:r>
        <w:t>) expose the exact same field paths — they're just self-contained (hardcoded/</w:t>
      </w:r>
      <w:r>
        <w:rPr>
          <w:rFonts w:ascii="Consolas" w:hAnsi="Consolas"/>
          <w:sz w:val="19"/>
          <w:highlight w:val="yellow"/>
          <w:shd w:val="clear" w:fill="F2F2F2"/>
        </w:rPr>
        <w:t>{{CUSTOM...}}</w:t>
      </w:r>
      <w:r>
        <w:t xml:space="preserve">-generated values instead of </w:t>
      </w:r>
      <w:r>
        <w:rPr>
          <w:rFonts w:ascii="Consolas" w:hAnsi="Consolas"/>
          <w:sz w:val="19"/>
          <w:highlight w:val="yellow"/>
          <w:shd w:val="clear" w:fill="F2F2F2"/>
        </w:rPr>
        <w:t>{{VAR.xxx}}</w:t>
      </w:r>
      <w:r>
        <w:t xml:space="preserve"> references into earlier steps), so </w:t>
      </w:r>
      <w:r>
        <w:rPr>
          <w:rFonts w:ascii="Consolas" w:hAnsi="Consolas"/>
          <w:sz w:val="19"/>
          <w:highlight w:val="yellow"/>
          <w:shd w:val="clear" w:fill="F2F2F2"/>
        </w:rPr>
        <w:t>Test Data</w:t>
      </w:r>
      <w:r>
        <w:t xml:space="preserve"> written for full-scenario mode works unchanged against the isolated variant.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*_multiple*</w:t>
      </w:r>
      <w:r>
        <w:t xml:space="preserve"> variants (</w:t>
      </w:r>
      <w:r>
        <w:rPr>
          <w:rFonts w:ascii="Consolas" w:hAnsi="Consolas"/>
          <w:sz w:val="19"/>
          <w:highlight w:val="yellow"/>
          <w:shd w:val="clear" w:fill="F2F2F2"/>
        </w:rPr>
        <w:t>claim_submission_multiple_template.xml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claim_submission_multiple_activities_template.xml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cost_submission_multiple_template.xml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remittance_advice_multiple_template.xml</w:t>
      </w:r>
      <w:r>
        <w:t xml:space="preserve">, etc.) simply repeat the </w:t>
      </w:r>
      <w:r>
        <w:rPr>
          <w:rFonts w:ascii="Consolas" w:hAnsi="Consolas"/>
          <w:sz w:val="19"/>
          <w:highlight w:val="yellow"/>
          <w:shd w:val="clear" w:fill="F2F2F2"/>
        </w:rPr>
        <w:t>Claim</w:t>
      </w:r>
      <w:r>
        <w:t xml:space="preserve"> or </w:t>
      </w:r>
      <w:r>
        <w:rPr>
          <w:rFonts w:ascii="Consolas" w:hAnsi="Consolas"/>
          <w:sz w:val="19"/>
          <w:highlight w:val="yellow"/>
          <w:shd w:val="clear" w:fill="F2F2F2"/>
        </w:rPr>
        <w:t>Activity</w:t>
      </w:r>
      <w:r>
        <w:t xml:space="preserve"> block several times — use </w:t>
      </w:r>
      <w:r>
        <w:rPr>
          <w:rFonts w:ascii="Consolas" w:hAnsi="Consolas"/>
          <w:sz w:val="19"/>
          <w:highlight w:val="yellow"/>
          <w:shd w:val="clear" w:fill="F2F2F2"/>
        </w:rPr>
        <w:t>Claim[2].ID=...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Activity[3].Code=...</w:t>
      </w:r>
      <w:r>
        <w:t xml:space="preserve"> etc. to target a specific one.</w:t>
      </w:r>
    </w:p>
    <w:p>
      <w:pPr>
        <w:pStyle w:val="ListBullet"/>
      </w:pPr>
      <w:r>
        <w:t xml:space="preserve">A field left as an empty element in the template (e.g. </w:t>
      </w:r>
      <w:r>
        <w:rPr>
          <w:rFonts w:ascii="Consolas" w:hAnsi="Consolas"/>
          <w:sz w:val="19"/>
          <w:highlight w:val="yellow"/>
          <w:shd w:val="clear" w:fill="F2F2F2"/>
        </w:rPr>
        <w:t>&lt;IDPayer&gt;&lt;/IDPayer&gt;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&lt;TransferSource&gt;&lt;/TransferSource&gt;</w:t>
      </w:r>
      <w:r>
        <w:t xml:space="preserve">) is a normal leaf — set it with a plain </w:t>
      </w:r>
      <w:r>
        <w:rPr>
          <w:rFonts w:ascii="Consolas" w:hAnsi="Consolas"/>
          <w:sz w:val="19"/>
          <w:highlight w:val="yellow"/>
          <w:shd w:val="clear" w:fill="F2F2F2"/>
        </w:rPr>
        <w:t>path=value</w:t>
      </w:r>
      <w:r>
        <w:t xml:space="preserve"> like any other field, or </w:t>
      </w:r>
      <w:r>
        <w:rPr>
          <w:rFonts w:ascii="Consolas" w:hAnsi="Consolas"/>
          <w:sz w:val="19"/>
          <w:highlight w:val="yellow"/>
          <w:shd w:val="clear" w:fill="F2F2F2"/>
        </w:rPr>
        <w:t>&lt;empty&gt;</w:t>
      </w:r>
      <w:r>
        <w:t xml:space="preserve"> to keep it explicitly blank.</w:t>
      </w:r>
    </w:p>
    <w:p>
      <w:pPr>
        <w:pStyle w:val="ListBullet"/>
      </w:pPr>
      <w:r>
        <w:t xml:space="preserve">Cross-step linkage: a value generated in an earlier chain step via </w:t>
      </w:r>
      <w:r>
        <w:rPr>
          <w:rFonts w:ascii="Consolas" w:hAnsi="Consolas"/>
          <w:sz w:val="19"/>
          <w:highlight w:val="yellow"/>
          <w:shd w:val="clear" w:fill="F2F2F2"/>
        </w:rPr>
        <w:t>{{VAR(name).CUSTOM.func()}}</w:t>
      </w:r>
      <w:r>
        <w:t xml:space="preserve"> (e.g. </w:t>
      </w:r>
      <w:r>
        <w:rPr>
          <w:rFonts w:ascii="Consolas" w:hAnsi="Consolas"/>
          <w:sz w:val="19"/>
          <w:highlight w:val="yellow"/>
          <w:shd w:val="clear" w:fill="F2F2F2"/>
        </w:rPr>
        <w:t>facility_id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member_id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emirates_id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activity_id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activity_code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clinician_license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observation_code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claim_id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id_payer</w:t>
      </w:r>
      <w:r>
        <w:t xml:space="preserve"> / </w:t>
      </w:r>
      <w:r>
        <w:rPr>
          <w:rFonts w:ascii="Consolas" w:hAnsi="Consolas"/>
          <w:sz w:val="19"/>
          <w:highlight w:val="yellow"/>
          <w:shd w:val="clear" w:fill="F2F2F2"/>
        </w:rPr>
        <w:t>remittance_id_payer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prior_request_id</w:t>
      </w:r>
      <w:r>
        <w:t xml:space="preserve">) is simply referenced later as </w:t>
      </w:r>
      <w:r>
        <w:rPr>
          <w:rFonts w:ascii="Consolas" w:hAnsi="Consolas"/>
          <w:sz w:val="19"/>
          <w:highlight w:val="yellow"/>
          <w:shd w:val="clear" w:fill="F2F2F2"/>
        </w:rPr>
        <w:t>{{VAR.name}}</w:t>
      </w:r>
      <w:r>
        <w:t xml:space="preserve"> in a downstream step's template. If you need to change one of these system-wide (e.g. force a specific </w:t>
      </w:r>
      <w:r>
        <w:rPr>
          <w:rFonts w:ascii="Consolas" w:hAnsi="Consolas"/>
          <w:sz w:val="19"/>
          <w:highlight w:val="yellow"/>
          <w:shd w:val="clear" w:fill="F2F2F2"/>
        </w:rPr>
        <w:t>activity_code</w:t>
      </w:r>
      <w:r>
        <w:t xml:space="preserve"> across Prior Request → Prior Authorization → Claim Submission), set it via </w:t>
      </w:r>
      <w:r>
        <w:rPr>
          <w:rFonts w:ascii="Consolas" w:hAnsi="Consolas"/>
          <w:sz w:val="19"/>
          <w:highlight w:val="yellow"/>
          <w:shd w:val="clear" w:fill="F2F2F2"/>
        </w:rPr>
        <w:t>Precondition</w:t>
      </w:r>
      <w:r>
        <w:t xml:space="preserve"> on the </w:t>
      </w:r>
      <w:r>
        <w:rPr>
          <w:b/>
        </w:rPr>
        <w:t>step that first generates it</w:t>
      </w:r>
      <w:r>
        <w:t xml:space="preserve"> (§5.2), not via </w:t>
      </w:r>
      <w:r>
        <w:rPr>
          <w:rFonts w:ascii="Consolas" w:hAnsi="Consolas"/>
          <w:sz w:val="19"/>
          <w:highlight w:val="yellow"/>
          <w:shd w:val="clear" w:fill="F2F2F2"/>
        </w:rPr>
        <w:t>Test Data</w:t>
      </w:r>
      <w:r>
        <w:t xml:space="preserve"> on the final step alone — otherwise only the final step's own copy changes and earlier steps still send the auto-generated value.</w:t>
      </w:r>
    </w:p>
    <w:p>
      <w:pPr>
        <w:pStyle w:val="Heading2"/>
      </w:pPr>
      <w:r>
        <w:t>11.2 SOAP-envelope-style templates (non-chained "API-style" transactions, and any</w:t>
      </w:r>
    </w:p>
    <w:p>
      <w:r>
        <w:rPr>
          <w:rFonts w:ascii="Consolas" w:hAnsi="Consolas"/>
          <w:sz w:val="19"/>
          <w:highlight w:val="yellow"/>
          <w:shd w:val="clear" w:fill="F2F2F2"/>
        </w:rPr>
        <w:t>*_upload_transaction*</w:t>
      </w:r>
      <w:r>
        <w:t xml:space="preserve"> template)</w:t>
      </w:r>
    </w:p>
    <w:p>
      <w:r>
        <w:rPr>
          <w:rFonts w:ascii="Consolas" w:hAnsi="Consolas"/>
          <w:sz w:val="19"/>
          <w:highlight w:val="yellow"/>
          <w:shd w:val="clear" w:fill="F2F2F2"/>
        </w:rPr>
        <w:t>search_transactions_template.xml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get_new_transactions_template.xml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get_new_prior_authorization_transactions.xml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download_transaction_file_template.xml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set_transaction_downloaded_template.xml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reconciliation.xml</w:t>
      </w:r>
      <w:r>
        <w:t xml:space="preserve">, </w:t>
      </w:r>
      <w:r>
        <w:rPr>
          <w:rFonts w:ascii="Consolas" w:hAnsi="Consolas"/>
          <w:sz w:val="19"/>
          <w:highlight w:val="yellow"/>
          <w:shd w:val="clear" w:fill="F2F2F2"/>
        </w:rPr>
        <w:t>get_person_insurance_history.xml</w:t>
      </w:r>
      <w:r>
        <w:t xml:space="preserve">, and every </w:t>
      </w:r>
      <w:r>
        <w:rPr>
          <w:rFonts w:ascii="Consolas" w:hAnsi="Consolas"/>
          <w:sz w:val="19"/>
          <w:highlight w:val="yellow"/>
          <w:shd w:val="clear" w:fill="F2F2F2"/>
        </w:rPr>
        <w:t>upload_transaction_*template.xml</w:t>
      </w:r>
      <w:r>
        <w:t xml:space="preserve"> are, unlike the domain-style templates above, the </w:t>
      </w:r>
      <w:r>
        <w:rPr>
          <w:b/>
        </w:rPr>
        <w:t>full SOAP envelope itself</w:t>
      </w:r>
      <w:r>
        <w:t xml:space="preserve"> (root </w:t>
      </w:r>
      <w:r>
        <w:rPr>
          <w:rFonts w:ascii="Consolas" w:hAnsi="Consolas"/>
          <w:sz w:val="19"/>
          <w:highlight w:val="yellow"/>
          <w:shd w:val="clear" w:fill="F2F2F2"/>
        </w:rPr>
        <w:t>soapenv:Envelope</w:t>
      </w:r>
      <w:r>
        <w:t xml:space="preserve"> → </w:t>
      </w:r>
      <w:r>
        <w:rPr>
          <w:rFonts w:ascii="Consolas" w:hAnsi="Consolas"/>
          <w:sz w:val="19"/>
          <w:highlight w:val="yellow"/>
          <w:shd w:val="clear" w:fill="F2F2F2"/>
        </w:rPr>
        <w:t>soapenv:Body</w:t>
      </w:r>
      <w:r>
        <w:t xml:space="preserve"> → the request element, e.g. </w:t>
      </w:r>
      <w:r>
        <w:rPr>
          <w:rFonts w:ascii="Consolas" w:hAnsi="Consolas"/>
          <w:sz w:val="19"/>
          <w:highlight w:val="yellow"/>
          <w:shd w:val="clear" w:fill="F2F2F2"/>
        </w:rPr>
        <w:t>v2:SearchTransactions</w:t>
      </w:r>
      <w:r>
        <w:t xml:space="preserve">). Paths for these therefore start with </w:t>
      </w:r>
      <w:r>
        <w:rPr>
          <w:rFonts w:ascii="Consolas" w:hAnsi="Consolas"/>
          <w:sz w:val="19"/>
          <w:highlight w:val="yellow"/>
          <w:shd w:val="clear" w:fill="F2F2F2"/>
        </w:rPr>
        <w:t>Body.&lt;RequestElementName&gt;.</w:t>
      </w:r>
      <w:r>
        <w:t>, e.g.:</w:t>
      </w:r>
    </w:p>
    <w:p>
      <w:pPr>
        <w:ind w:left="432"/>
        <w:shd w:val="clear" w:fill="F2F2F2"/>
      </w:pPr>
      <w:r>
        <w:rPr>
          <w:rFonts w:ascii="Consolas" w:hAnsi="Consolas"/>
          <w:sz w:val="18"/>
        </w:rPr>
        <w:t>Body.SearchTransactions.login=...;Body.SearchTransactions.direction=2</w:t>
      </w:r>
    </w:p>
    <w:p>
      <w:r>
        <w:t xml:space="preserve">(confirmed by </w:t>
      </w:r>
      <w:r>
        <w:rPr>
          <w:rFonts w:ascii="Consolas" w:hAnsi="Consolas"/>
          <w:sz w:val="19"/>
          <w:highlight w:val="yellow"/>
          <w:shd w:val="clear" w:fill="F2F2F2"/>
        </w:rPr>
        <w:t>utils/request_sender/send_request.py</w:t>
      </w:r>
      <w:r>
        <w:t xml:space="preserve">, which sets upload-transaction file content via </w:t>
      </w:r>
      <w:r>
        <w:rPr>
          <w:rFonts w:ascii="Consolas" w:hAnsi="Consolas"/>
          <w:sz w:val="19"/>
          <w:highlight w:val="yellow"/>
          <w:shd w:val="clear" w:fill="F2F2F2"/>
        </w:rPr>
        <w:t>Body.UploadTransaction.fileContent=...;Body.UploadTransaction.fileName=...</w:t>
      </w:r>
      <w:r>
        <w:t xml:space="preserve">). Search Transactions' own fields, for reference: </w:t>
      </w:r>
      <w:r>
        <w:rPr>
          <w:rFonts w:ascii="Consolas" w:hAnsi="Consolas"/>
          <w:sz w:val="19"/>
          <w:highlight w:val="yellow"/>
          <w:shd w:val="clear" w:fill="F2F2F2"/>
        </w:rPr>
        <w:t>login, pwd, direction, callerLicense, ePartner, transactionID, transactionStatus, transactionFileName, transactionFromDate, transactionToDate, minRecordCount, maxRecordCount</w:t>
      </w:r>
      <w:r>
        <w:t xml:space="preserve">. In practice these rows are populated automatically from the prerequisite transaction named in </w:t>
      </w:r>
      <w:r>
        <w:rPr>
          <w:rFonts w:ascii="Consolas" w:hAnsi="Consolas"/>
          <w:sz w:val="19"/>
          <w:highlight w:val="yellow"/>
          <w:shd w:val="clear" w:fill="F2F2F2"/>
        </w:rPr>
        <w:t>Precondition</w:t>
      </w:r>
      <w:r>
        <w:t xml:space="preserve"> (§5.2) — </w:t>
      </w:r>
      <w:r>
        <w:rPr>
          <w:rFonts w:ascii="Consolas" w:hAnsi="Consolas"/>
          <w:sz w:val="19"/>
          <w:highlight w:val="yellow"/>
          <w:shd w:val="clear" w:fill="F2F2F2"/>
        </w:rPr>
        <w:t>Test Data</w:t>
      </w:r>
      <w:r>
        <w:t xml:space="preserve"> is only needed to override a specific field on top of that.</w:t>
      </w:r>
    </w:p>
    <w:p>
      <w:pPr>
        <w:pStyle w:val="Heading2"/>
      </w:pPr>
      <w:r>
        <w:t>11.3 Finding the exact fields for a template not listed above</w:t>
      </w:r>
    </w:p>
    <w:p>
      <w:r>
        <w:t xml:space="preserve">For any </w:t>
      </w:r>
      <w:r>
        <w:rPr>
          <w:rFonts w:ascii="Consolas" w:hAnsi="Consolas"/>
          <w:sz w:val="19"/>
          <w:highlight w:val="yellow"/>
          <w:shd w:val="clear" w:fill="F2F2F2"/>
        </w:rPr>
        <w:t>Transaction Type</w:t>
      </w:r>
      <w:r>
        <w:t xml:space="preserve"> not covered by name in §11.1/§11.2 (e.g. a specific </w:t>
      </w:r>
      <w:r>
        <w:rPr>
          <w:rFonts w:ascii="Consolas" w:hAnsi="Consolas"/>
          <w:sz w:val="19"/>
          <w:highlight w:val="yellow"/>
          <w:shd w:val="clear" w:fill="F2F2F2"/>
        </w:rPr>
        <w:t>prior_authorization_prescription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_cancellation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_extension</w:t>
      </w:r>
      <w:r>
        <w:t>/</w:t>
      </w:r>
      <w:r>
        <w:rPr>
          <w:rFonts w:ascii="Consolas" w:hAnsi="Consolas"/>
          <w:sz w:val="19"/>
          <w:highlight w:val="yellow"/>
          <w:shd w:val="clear" w:fill="F2F2F2"/>
        </w:rPr>
        <w:t>_eligibility</w:t>
      </w:r>
      <w:r>
        <w:t xml:space="preserve"> variant, or a </w:t>
      </w:r>
      <w:r>
        <w:rPr>
          <w:rFonts w:ascii="Consolas" w:hAnsi="Consolas"/>
          <w:sz w:val="19"/>
          <w:highlight w:val="yellow"/>
          <w:shd w:val="clear" w:fill="F2F2F2"/>
        </w:rPr>
        <w:t>*_to_tpa</w:t>
      </w:r>
      <w:r>
        <w:t xml:space="preserve"> variant), open the matching file directly under </w:t>
      </w:r>
      <w:r>
        <w:rPr>
          <w:rFonts w:ascii="Consolas" w:hAnsi="Consolas"/>
          <w:sz w:val="19"/>
          <w:highlight w:val="yellow"/>
          <w:shd w:val="clear" w:fill="F2F2F2"/>
        </w:rPr>
        <w:t>xml_templates/</w:t>
      </w:r>
      <w:r>
        <w:t xml:space="preserve"> — the naming pattern is </w:t>
      </w:r>
      <w:r>
        <w:rPr>
          <w:rFonts w:ascii="Consolas" w:hAnsi="Consolas"/>
          <w:sz w:val="19"/>
          <w:highlight w:val="yellow"/>
          <w:shd w:val="clear" w:fill="F2F2F2"/>
        </w:rPr>
        <w:t>&lt;snake_case_of_transaction_type&gt;_template.xml</w:t>
      </w:r>
      <w:r>
        <w:t xml:space="preserve"> (add </w:t>
      </w:r>
      <w:r>
        <w:rPr>
          <w:rFonts w:ascii="Consolas" w:hAnsi="Consolas"/>
          <w:sz w:val="19"/>
          <w:highlight w:val="yellow"/>
          <w:shd w:val="clear" w:fill="F2F2F2"/>
        </w:rPr>
        <w:t>_isolated</w:t>
      </w:r>
      <w:r>
        <w:t xml:space="preserve"> for the isolated variant). The structure will match the closest family above with only minor field differences for that variant.</w:t>
      </w:r>
    </w:p>
    <w:p>
      <w:pPr>
        <w:pStyle w:val="Heading1"/>
      </w:pPr>
      <w:r>
        <w:t>12. Where things live (for cross-referencing while generating data)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docs/request_mapper_transaction_flows.md</w:t>
      </w:r>
      <w:r>
        <w:t xml:space="preserve"> — prerequisite chain per </w:t>
      </w:r>
      <w:r>
        <w:rPr>
          <w:rFonts w:ascii="Consolas" w:hAnsi="Consolas"/>
          <w:sz w:val="19"/>
          <w:highlight w:val="yellow"/>
          <w:shd w:val="clear" w:fill="F2F2F2"/>
        </w:rPr>
        <w:t>Transaction Type</w:t>
      </w:r>
      <w:r>
        <w:t>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docs/example_test_cases_sheet.xlsx</w:t>
      </w:r>
      <w:r>
        <w:t xml:space="preserve"> — real worked rows to imitate.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docs/batch-and-assertion-tabs-guide.md</w:t>
      </w:r>
      <w:r>
        <w:t xml:space="preserve"> — GUI/CLI operational guide (how to actually *run* what you generate).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functions/custom_functions.py</w:t>
      </w:r>
      <w:r>
        <w:t xml:space="preserve"> — every </w:t>
      </w:r>
      <w:r>
        <w:rPr>
          <w:rFonts w:ascii="Consolas" w:hAnsi="Consolas"/>
          <w:sz w:val="19"/>
          <w:highlight w:val="yellow"/>
          <w:shd w:val="clear" w:fill="F2F2F2"/>
        </w:rPr>
        <w:t>{{CUSTOM.*}}</w:t>
      </w:r>
      <w:r>
        <w:t xml:space="preserve"> function and the </w:t>
      </w:r>
      <w:r>
        <w:rPr>
          <w:rFonts w:ascii="Consolas" w:hAnsi="Consolas"/>
          <w:sz w:val="19"/>
          <w:highlight w:val="yellow"/>
          <w:shd w:val="clear" w:fill="F2F2F2"/>
        </w:rPr>
        <w:t>resources/*.xlsx|csv</w:t>
      </w:r>
      <w:r>
        <w:t xml:space="preserve"> reference data files backing them.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utils/template_generator/requests_name_enums.py</w:t>
      </w:r>
      <w:r>
        <w:t xml:space="preserve"> — authoritative </w:t>
      </w:r>
      <w:r>
        <w:rPr>
          <w:rFonts w:ascii="Consolas" w:hAnsi="Consolas"/>
          <w:sz w:val="19"/>
          <w:highlight w:val="yellow"/>
          <w:shd w:val="clear" w:fill="F2F2F2"/>
        </w:rPr>
        <w:t>Transaction Type</w:t>
      </w:r>
      <w:r>
        <w:t xml:space="preserve"> value list.</w:t>
      </w:r>
    </w:p>
    <w:p>
      <w:pPr>
        <w:pStyle w:val="ListBullet"/>
      </w:pPr>
      <w:r>
        <w:rPr>
          <w:rFonts w:ascii="Consolas" w:hAnsi="Consolas"/>
          <w:sz w:val="19"/>
          <w:highlight w:val="yellow"/>
          <w:shd w:val="clear" w:fill="F2F2F2"/>
        </w:rPr>
        <w:t>xml_templates/</w:t>
      </w:r>
      <w:r>
        <w:t xml:space="preserve"> — the actual XML templates each transaction builds from, useful to see which field paths exist at all for a given transaction.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