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Georgia" w:cs="Georgia" w:eastAsia="Georgia" w:hAnsi="Georgia"/>
          <w:b/>
          <w:bCs/>
          <w:color w:val="1D4A3D"/>
          <w:sz w:val="44"/>
          <w:szCs w:val="44"/>
        </w:rPr>
        <w:t xml:space="preserve">DATA EXTRACTION CALIBRATION CHECK</w:t>
      </w:r>
    </w:p>
    <w:p>
      <w:pPr>
        <w:spacing w:after="260" w:before="160"/>
        <w:jc w:val="center"/>
      </w:pPr>
      <w:r>
        <w:rPr>
          <w:rFonts w:ascii="Georgia" w:cs="Georgia" w:eastAsia="Georgia" w:hAnsi="Georgia"/>
          <w:i/>
          <w:iCs/>
          <w:color w:val="1D2B26"/>
          <w:sz w:val="28"/>
          <w:szCs w:val="28"/>
        </w:rPr>
        <w:t xml:space="preserve">20% Duplicate-Extraction Agreement Analysis</w:t>
      </w:r>
    </w:p>
    <w:p>
      <w:pPr>
        <w:pBdr>
          <w:bottom w:val="single" w:color="C9BFA6" w:sz="10" w:space="8"/>
        </w:pBdr>
        <w:spacing w:after="260"/>
      </w:pPr>
    </w:p>
    <w:p>
      <w:pPr>
        <w:spacing w:after="90"/>
        <w:jc w:val="center"/>
      </w:pPr>
      <w:r>
        <w:rPr>
          <w:rFonts w:ascii="Source Sans Pro" w:cs="Source Sans Pro" w:eastAsia="Source Sans Pro" w:hAnsi="Source Sans Pro"/>
          <w:color w:val="4F5E58"/>
          <w:sz w:val="22"/>
          <w:szCs w:val="22"/>
        </w:rPr>
        <w:t xml:space="preserve">Breastfeeding versus Formula Feeding and the Infant Gut Microbiome: A Systematic Review</w:t>
      </w:r>
    </w:p>
    <w:p>
      <w:pPr>
        <w:spacing w:after="300"/>
        <w:jc w:val="center"/>
      </w:pPr>
      <w:r>
        <w:rPr>
          <w:rFonts w:ascii="Consolas" w:cs="Consolas" w:eastAsia="Consolas" w:hAnsi="Consolas"/>
          <w:color w:val="4F5E58"/>
          <w:sz w:val="18"/>
          <w:szCs w:val="18"/>
          <w:shd w:fill="E9F1EC" w:val="clear"/>
        </w:rPr>
        <w:t xml:space="preserve">PROSPERO CRD420261485879  ·  Covidence review 818465 (microbiome_methodologies)</w:t>
      </w:r>
    </w:p>
    <w:p>
      <w:pPr>
        <w:spacing w:after="40"/>
        <w:jc w:val="center"/>
      </w:pPr>
      <w:r>
        <w:rPr>
          <w:rFonts w:ascii="Source Sans Pro" w:cs="Source Sans Pro" w:eastAsia="Source Sans Pro" w:hAnsi="Source Sans Pro"/>
          <w:b/>
          <w:bCs/>
          <w:color w:val="1D2B26"/>
          <w:sz w:val="19"/>
          <w:szCs w:val="19"/>
        </w:rPr>
        <w:t xml:space="preserve">Prepared by: Philip Appiah-Kubi</w:t>
      </w:r>
    </w:p>
    <w:p>
      <w:pPr>
        <w:spacing w:after="40"/>
        <w:jc w:val="center"/>
      </w:pPr>
      <w:r>
        <w:rPr>
          <w:rFonts w:ascii="Source Sans Pro" w:cs="Source Sans Pro" w:eastAsia="Source Sans Pro" w:hAnsi="Source Sans Pro"/>
          <w:color w:val="4F5E58"/>
          <w:sz w:val="19"/>
          <w:szCs w:val="19"/>
        </w:rPr>
        <w:t xml:space="preserve">Date: 16 October 2026</w:t>
      </w:r>
    </w:p>
    <w:p>
      <w:pPr>
        <w:spacing w:after="700"/>
        <w:jc w:val="center"/>
      </w:pPr>
      <w:r>
        <w:rPr>
          <w:rFonts w:ascii="Source Sans Pro" w:cs="Source Sans Pro" w:eastAsia="Source Sans Pro" w:hAnsi="Source Sans Pro"/>
          <w:i/>
          <w:iCs/>
          <w:color w:val="1D4A3D"/>
          <w:sz w:val="17"/>
          <w:szCs w:val="17"/>
        </w:rPr>
        <w:t xml:space="preserve">Status: Calibration sample complete — informs single-extraction-with-verification for remaining 80% of corpus</w:t>
      </w:r>
    </w:p>
    <w:p>
      <w:r>
        <w:br w:type="page"/>
      </w:r>
    </w:p>
    <w:p>
      <w:pPr>
        <w:pStyle w:val="Heading1"/>
        <w:spacing w:after="140" w:before="0"/>
      </w:pPr>
      <w:r>
        <w:rPr>
          <w:rFonts w:ascii="Georgia" w:cs="Georgia" w:eastAsia="Georgia" w:hAnsi="Georgia"/>
          <w:b/>
          <w:bCs/>
          <w:color w:val="1D4A3D"/>
        </w:rPr>
        <w:t xml:space="preserve">Purpose and where this fits</w:t>
      </w:r>
    </w:p>
    <w:p>
      <w:pPr>
        <w:spacing w:after="140" w:before="0"/>
      </w:pPr>
      <w:r>
        <w:rPr>
          <w:rFonts w:ascii="Source Sans Pro" w:cs="Source Sans Pro" w:eastAsia="Source Sans Pro" w:hAnsi="Source Sans Pro"/>
          <w:color w:val="1D2B26"/>
          <w:sz w:val="21"/>
          <w:szCs w:val="21"/>
        </w:rPr>
        <w:t xml:space="preserve">This document records the independent-duplicate-extraction calibration step required by this review's own protocol: data extraction is performed in </w:t>
      </w:r>
      <w:r>
        <w:rPr>
          <w:rFonts w:ascii="Source Sans Pro" w:cs="Source Sans Pro" w:eastAsia="Source Sans Pro" w:hAnsi="Source Sans Pro"/>
          <w:b/>
          <w:bCs/>
          <w:color w:val="1D2B26"/>
          <w:sz w:val="21"/>
          <w:szCs w:val="21"/>
        </w:rPr>
        <w:t xml:space="preserve">duplicate on a 20% random sample</w:t>
      </w:r>
      <w:r>
        <w:rPr>
          <w:rFonts w:ascii="Source Sans Pro" w:cs="Source Sans Pro" w:eastAsia="Source Sans Pro" w:hAnsi="Source Sans Pro"/>
          <w:color w:val="1D2B26"/>
          <w:sz w:val="21"/>
          <w:szCs w:val="21"/>
        </w:rPr>
        <w:t xml:space="preserve"> of included studies, with </w:t>
      </w:r>
      <w:r>
        <w:rPr>
          <w:rFonts w:ascii="Source Sans Pro" w:cs="Source Sans Pro" w:eastAsia="Source Sans Pro" w:hAnsi="Source Sans Pro"/>
          <w:b/>
          <w:bCs/>
          <w:color w:val="1D2B26"/>
          <w:sz w:val="21"/>
          <w:szCs w:val="21"/>
        </w:rPr>
        <w:t xml:space="preserve">single extraction and verification thereafter</w:t>
      </w:r>
      <w:r>
        <w:rPr>
          <w:rFonts w:ascii="Source Sans Pro" w:cs="Source Sans Pro" w:eastAsia="Source Sans Pro" w:hAnsi="Source Sans Pro"/>
          <w:color w:val="1D2B26"/>
          <w:sz w:val="21"/>
          <w:szCs w:val="21"/>
        </w:rPr>
        <w:t xml:space="preserve"> for the remaining corpus. Two reviewers ("Philip" and "Alaa") independently extracted the same 23-study random sample (20% of the 111 included studies, seed 20261016) against the full 34-field extraction specification. Alaa's pass was genuinely blind — produced with no access to Philip's draft — so the comparison below reflects true independent agreement, not a reviewer checking their own prior work.</w:t>
      </w:r>
    </w:p>
    <w:p>
      <w:pPr>
        <w:spacing w:after="140" w:before="0"/>
      </w:pPr>
      <w:r>
        <w:rPr>
          <w:rFonts w:ascii="Source Sans Pro" w:cs="Source Sans Pro" w:eastAsia="Source Sans Pro" w:hAnsi="Source Sans Pro"/>
          <w:color w:val="1D2B26"/>
          <w:sz w:val="21"/>
          <w:szCs w:val="21"/>
        </w:rPr>
        <w:t xml:space="preserve">This report serves two purposes. First, it is the </w:t>
      </w:r>
      <w:r>
        <w:rPr>
          <w:rFonts w:ascii="Source Sans Pro" w:cs="Source Sans Pro" w:eastAsia="Source Sans Pro" w:hAnsi="Source Sans Pro"/>
          <w:b/>
          <w:bCs/>
          <w:color w:val="1D2B26"/>
          <w:sz w:val="21"/>
          <w:szCs w:val="21"/>
        </w:rPr>
        <w:t xml:space="preserve">internal audit trail</w:t>
      </w:r>
      <w:r>
        <w:rPr>
          <w:rFonts w:ascii="Source Sans Pro" w:cs="Source Sans Pro" w:eastAsia="Source Sans Pro" w:hAnsi="Source Sans Pro"/>
          <w:color w:val="1D2B26"/>
          <w:sz w:val="21"/>
          <w:szCs w:val="21"/>
        </w:rPr>
        <w:t xml:space="preserve"> for this calibration step, kept alongside the underlying extraction drafts in the project's `extraction/` folder as supporting methodological documentation — evidence that the calibration specified in the protocol actually took place, what agreement rate resulted, and what it changed. Second, its headline figures are intended to be </w:t>
      </w:r>
      <w:r>
        <w:rPr>
          <w:rFonts w:ascii="Source Sans Pro" w:cs="Source Sans Pro" w:eastAsia="Source Sans Pro" w:hAnsi="Source Sans Pro"/>
          <w:b/>
          <w:bCs/>
          <w:color w:val="1D2B26"/>
          <w:sz w:val="21"/>
          <w:szCs w:val="21"/>
        </w:rPr>
        <w:t xml:space="preserve">summarized briefly in the eventual manuscript's Methods / Data Extraction subsection</w:t>
      </w:r>
      <w:r>
        <w:rPr>
          <w:rFonts w:ascii="Source Sans Pro" w:cs="Source Sans Pro" w:eastAsia="Source Sans Pro" w:hAnsi="Source Sans Pro"/>
          <w:color w:val="1D2B26"/>
          <w:sz w:val="21"/>
          <w:szCs w:val="21"/>
        </w:rPr>
        <w:t xml:space="preserve"> (a sentence or two on reviewers, sample size, and overall agreement), with the full detail held in reserve as supplementary material or an internally retained record, as the review team and target journal's space constraints dictate.</w:t>
      </w:r>
    </w:p>
    <w:p>
      <w:pPr>
        <w:spacing w:after="140" w:before="0"/>
      </w:pPr>
      <w:r>
        <w:rPr>
          <w:rFonts w:ascii="Source Sans Pro" w:cs="Source Sans Pro" w:eastAsia="Source Sans Pro" w:hAnsi="Source Sans Pro"/>
          <w:color w:val="1D2B26"/>
          <w:sz w:val="21"/>
          <w:szCs w:val="21"/>
        </w:rPr>
        <w:t xml:space="preserve">This exercise also directly motivated two methodological refinements already adopted into the review's protocol ahead of full-corpus extraction: a dedicated three-way scale for beta diversity (it does not fit the four-way direction-of-effect scale used for scalar outcomes), and a standing rule for classifying "hybrid-design" studies (an RCT between formula arms plus a non-randomized breastfed reference group) by the comparison this review actually extracts, not the paper's own registered randomization. Both are documented in `protocol.md` and the `Infant_Microbiome_Codebook`.</w:t>
      </w:r>
    </w:p>
    <w:p>
      <w:pPr>
        <w:pStyle w:val="Heading1"/>
        <w:spacing w:after="140" w:before="320"/>
      </w:pPr>
      <w:r>
        <w:rPr>
          <w:rFonts w:ascii="Georgia" w:cs="Georgia" w:eastAsia="Georgia" w:hAnsi="Georgia"/>
          <w:b/>
          <w:bCs/>
          <w:color w:val="1D4A3D"/>
        </w:rPr>
        <w:t xml:space="preserve">Methods</w:t>
      </w:r>
    </w:p>
    <w:p>
      <w:pPr>
        <w:spacing w:after="140" w:before="0"/>
      </w:pPr>
      <w:r>
        <w:rPr>
          <w:rFonts w:ascii="Source Sans Pro" w:cs="Source Sans Pro" w:eastAsia="Source Sans Pro" w:hAnsi="Source Sans Pro"/>
          <w:color w:val="1D2B26"/>
          <w:sz w:val="21"/>
          <w:szCs w:val="21"/>
        </w:rPr>
        <w:t xml:space="preserve">Two reviewers independently extracted data from the same 23-study calibration sample against the same 34-field specification spanning nine content sections (A. Study identification, B. Population, C. Exposure/comparator definition, D. Profiling method, E. Composition outcomes, F. Functional outcomes, G. Covariates and age bands, H. Race/ethnicity/ancestry, I. Notes). Alaa's extraction was performed with no access to Philip's draft, satisfying the independence requirement for a duplicate-extraction calibration check. Each field-comparison across the 23 studies was scored as </w:t>
      </w:r>
      <w:r>
        <w:rPr>
          <w:rFonts w:ascii="Source Sans Pro" w:cs="Source Sans Pro" w:eastAsia="Source Sans Pro" w:hAnsi="Source Sans Pro"/>
          <w:b/>
          <w:bCs/>
          <w:color w:val="1D2B26"/>
          <w:sz w:val="21"/>
          <w:szCs w:val="21"/>
        </w:rPr>
        <w:t xml:space="preserve">Full agreement (FA)</w:t>
      </w:r>
      <w:r>
        <w:rPr>
          <w:rFonts w:ascii="Source Sans Pro" w:cs="Source Sans Pro" w:eastAsia="Source Sans Pro" w:hAnsi="Source Sans Pro"/>
          <w:color w:val="1D2B26"/>
          <w:sz w:val="21"/>
          <w:szCs w:val="21"/>
        </w:rPr>
        <w:t xml:space="preserve">, </w:t>
      </w:r>
      <w:r>
        <w:rPr>
          <w:rFonts w:ascii="Source Sans Pro" w:cs="Source Sans Pro" w:eastAsia="Source Sans Pro" w:hAnsi="Source Sans Pro"/>
          <w:b/>
          <w:bCs/>
          <w:color w:val="1D2B26"/>
          <w:sz w:val="21"/>
          <w:szCs w:val="21"/>
        </w:rPr>
        <w:t xml:space="preserve">Partial agreement (PA)</w:t>
      </w:r>
      <w:r>
        <w:rPr>
          <w:rFonts w:ascii="Source Sans Pro" w:cs="Source Sans Pro" w:eastAsia="Source Sans Pro" w:hAnsi="Source Sans Pro"/>
          <w:color w:val="1D2B26"/>
          <w:sz w:val="21"/>
          <w:szCs w:val="21"/>
        </w:rPr>
        <w:t xml:space="preserve">, </w:t>
      </w:r>
      <w:r>
        <w:rPr>
          <w:rFonts w:ascii="Source Sans Pro" w:cs="Source Sans Pro" w:eastAsia="Source Sans Pro" w:hAnsi="Source Sans Pro"/>
          <w:b/>
          <w:bCs/>
          <w:color w:val="1D2B26"/>
          <w:sz w:val="21"/>
          <w:szCs w:val="21"/>
        </w:rPr>
        <w:t xml:space="preserve">Disagreement (DA)</w:t>
      </w:r>
      <w:r>
        <w:rPr>
          <w:rFonts w:ascii="Source Sans Pro" w:cs="Source Sans Pro" w:eastAsia="Source Sans Pro" w:hAnsi="Source Sans Pro"/>
          <w:color w:val="1D2B26"/>
          <w:sz w:val="21"/>
          <w:szCs w:val="21"/>
        </w:rPr>
        <w:t xml:space="preserve">, or </w:t>
      </w:r>
      <w:r>
        <w:rPr>
          <w:rFonts w:ascii="Source Sans Pro" w:cs="Source Sans Pro" w:eastAsia="Source Sans Pro" w:hAnsi="Source Sans Pro"/>
          <w:b/>
          <w:bCs/>
          <w:color w:val="1D2B26"/>
          <w:sz w:val="21"/>
          <w:szCs w:val="21"/>
        </w:rPr>
        <w:t xml:space="preserve">Not comparable (NC)</w:t>
      </w:r>
      <w:r>
        <w:rPr>
          <w:rFonts w:ascii="Source Sans Pro" w:cs="Source Sans Pro" w:eastAsia="Source Sans Pro" w:hAnsi="Source Sans Pro"/>
          <w:color w:val="1D2B26"/>
          <w:sz w:val="21"/>
          <w:szCs w:val="21"/>
        </w:rPr>
        <w:t xml:space="preserve"> — the last reserved for cases where one extractor's pass states that a specific finding is not present in the available text while the other reports a specific value, a source-completeness question rather than a conflicting read. As a third, independent step, a sample of the resulting disagreements was cross-checked directly against each paper's own source text or tables — not against either draft's self-characterization — to determine, where possible, which reading was actually correct rather than simply tallying that a disagreement existed.</w:t>
      </w:r>
    </w:p>
    <w:p>
      <w:pPr>
        <w:pStyle w:val="Heading1"/>
        <w:spacing w:after="140" w:before="320"/>
      </w:pPr>
      <w:r>
        <w:rPr>
          <w:rFonts w:ascii="Georgia" w:cs="Georgia" w:eastAsia="Georgia" w:hAnsi="Georgia"/>
          <w:b/>
          <w:bCs/>
          <w:color w:val="1D4A3D"/>
        </w:rPr>
        <w:t xml:space="preserve">Results</w:t>
      </w:r>
    </w:p>
    <w:p>
      <w:pPr>
        <w:pStyle w:val="Heading2"/>
        <w:spacing w:after="140" w:before="320"/>
      </w:pPr>
      <w:r>
        <w:rPr>
          <w:rFonts w:ascii="Georgia" w:cs="Georgia" w:eastAsia="Georgia" w:hAnsi="Georgia"/>
          <w:b/>
          <w:bCs/>
          <w:color w:val="1D4A3D"/>
        </w:rPr>
        <w:t xml:space="preserve">1. Per-field agreement summary</w:t>
      </w:r>
    </w:p>
    <w:p>
      <w:pPr>
        <w:spacing w:after="140" w:before="0"/>
      </w:pPr>
      <w:r>
        <w:rPr>
          <w:rFonts w:ascii="Source Sans Pro" w:cs="Source Sans Pro" w:eastAsia="Source Sans Pro" w:hAnsi="Source Sans Pro"/>
          <w:color w:val="1D2B26"/>
          <w:sz w:val="21"/>
          <w:szCs w:val="21"/>
        </w:rPr>
        <w:t xml:space="preserve">Counts are Full agreement (FA) / Partial agreement (PA) / Disagreement (DA) / Not comparable (NC), out of 23 studies, with FA shown as a percentage.</w:t>
      </w:r>
    </w:p>
    <w:p>
      <w:pPr>
        <w:spacing w:after="80" w:before="160"/>
      </w:pPr>
      <w:r>
        <w:rPr>
          <w:rFonts w:ascii="Source Sans Pro" w:cs="Source Sans Pro" w:eastAsia="Source Sans Pro" w:hAnsi="Source Sans Pro"/>
          <w:b/>
          <w:bCs/>
          <w:color w:val="1D2B26"/>
          <w:sz w:val="20"/>
          <w:szCs w:val="20"/>
        </w:rPr>
        <w:t xml:space="preserve">A. Study identification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950"/>
        <w:gridCol w:w="950"/>
        <w:gridCol w:w="950"/>
        <w:gridCol w:w="950"/>
        <w:gridCol w:w="1200"/>
      </w:tblGrid>
      <w:tr>
        <w:trPr>
          <w:tblHeader/>
        </w:trPr>
        <w:tc>
          <w:tcPr>
            <w:tcW w:type="dxa" w:w="43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Field</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PA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DA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NC</w:t>
            </w:r>
          </w:p>
        </w:tc>
        <w:tc>
          <w:tcPr>
            <w:tcW w:type="dxa" w:w="120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 %</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A1 First author, year</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23</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100%</w:t>
            </w:r>
          </w:p>
        </w:tc>
      </w:tr>
      <w:tr>
        <w:trPr>
          <w:tblHeader w:val="off"/>
        </w:trPr>
        <w:tc>
          <w:tcPr>
            <w:tcW w:type="dxa" w:w="4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A2 Country</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23</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100%</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A3 Study design (governs RoB tool)</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22</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95.7%</w:t>
            </w:r>
          </w:p>
        </w:tc>
      </w:tr>
      <w:tr>
        <w:trPr>
          <w:tblHeader w:val="off"/>
        </w:trPr>
        <w:tc>
          <w:tcPr>
            <w:tcW w:type="dxa" w:w="4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A4 Funding source</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22</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95.7%</w:t>
            </w:r>
          </w:p>
        </w:tc>
      </w:tr>
    </w:tbl>
    <w:p>
      <w:pPr>
        <w:spacing w:after="100"/>
      </w:pPr>
    </w:p>
    <w:p>
      <w:pPr>
        <w:spacing w:after="80" w:before="160"/>
      </w:pPr>
      <w:r>
        <w:rPr>
          <w:rFonts w:ascii="Source Sans Pro" w:cs="Source Sans Pro" w:eastAsia="Source Sans Pro" w:hAnsi="Source Sans Pro"/>
          <w:b/>
          <w:bCs/>
          <w:color w:val="1D2B26"/>
          <w:sz w:val="20"/>
          <w:szCs w:val="20"/>
        </w:rPr>
        <w:t xml:space="preserve">B. Population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950"/>
        <w:gridCol w:w="950"/>
        <w:gridCol w:w="950"/>
        <w:gridCol w:w="950"/>
        <w:gridCol w:w="1200"/>
      </w:tblGrid>
      <w:tr>
        <w:trPr>
          <w:tblHeader/>
        </w:trPr>
        <w:tc>
          <w:tcPr>
            <w:tcW w:type="dxa" w:w="43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Field</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PA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DA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NC</w:t>
            </w:r>
          </w:p>
        </w:tc>
        <w:tc>
          <w:tcPr>
            <w:tcW w:type="dxa" w:w="120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 %</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B1 Total cohort N</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22</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95.7%</w:t>
            </w:r>
          </w:p>
        </w:tc>
      </w:tr>
      <w:tr>
        <w:trPr>
          <w:tblHeader w:val="off"/>
        </w:trPr>
        <w:tc>
          <w:tcPr>
            <w:tcW w:type="dxa" w:w="4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B2 Gestational age range/criteria</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21</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120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91.3%</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B3 Infant age(s) at stool sampling</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23</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100%</w:t>
            </w:r>
          </w:p>
        </w:tc>
      </w:tr>
      <w:tr>
        <w:trPr>
          <w:tblHeader w:val="off"/>
        </w:trPr>
        <w:tc>
          <w:tcPr>
            <w:tcW w:type="dxa" w:w="4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B4 Delivery mode reported?</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22</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95.7%</w:t>
            </w:r>
          </w:p>
        </w:tc>
      </w:tr>
    </w:tbl>
    <w:p>
      <w:pPr>
        <w:spacing w:after="100"/>
      </w:pPr>
    </w:p>
    <w:p>
      <w:pPr>
        <w:spacing w:after="80" w:before="160"/>
      </w:pPr>
      <w:r>
        <w:rPr>
          <w:rFonts w:ascii="Source Sans Pro" w:cs="Source Sans Pro" w:eastAsia="Source Sans Pro" w:hAnsi="Source Sans Pro"/>
          <w:b/>
          <w:bCs/>
          <w:color w:val="1D2B26"/>
          <w:sz w:val="20"/>
          <w:szCs w:val="20"/>
        </w:rPr>
        <w:t xml:space="preserve">C. Exposure/comparator definition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950"/>
        <w:gridCol w:w="950"/>
        <w:gridCol w:w="950"/>
        <w:gridCol w:w="950"/>
        <w:gridCol w:w="1200"/>
      </w:tblGrid>
      <w:tr>
        <w:trPr>
          <w:tblHeader/>
        </w:trPr>
        <w:tc>
          <w:tcPr>
            <w:tcW w:type="dxa" w:w="43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Field</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PA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DA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NC</w:t>
            </w:r>
          </w:p>
        </w:tc>
        <w:tc>
          <w:tcPr>
            <w:tcW w:type="dxa" w:w="120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 %</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C1 Feeding-group definitions (verbatim)</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23</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100%</w:t>
            </w:r>
          </w:p>
        </w:tc>
      </w:tr>
      <w:tr>
        <w:trPr>
          <w:tblHeader w:val="off"/>
        </w:trPr>
        <w:tc>
          <w:tcPr>
            <w:tcW w:type="dxa" w:w="4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C2 Classification used</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19</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4</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82.6%</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C3 Ascertainment</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23</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100%</w:t>
            </w:r>
          </w:p>
        </w:tc>
      </w:tr>
      <w:tr>
        <w:trPr>
          <w:tblHeader w:val="off"/>
        </w:trPr>
        <w:tc>
          <w:tcPr>
            <w:tcW w:type="dxa" w:w="4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C4 N per feeding group</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22</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95.7%</w:t>
            </w:r>
          </w:p>
        </w:tc>
      </w:tr>
    </w:tbl>
    <w:p>
      <w:pPr>
        <w:spacing w:after="100"/>
      </w:pPr>
    </w:p>
    <w:p>
      <w:pPr>
        <w:spacing w:after="80" w:before="160"/>
      </w:pPr>
      <w:r>
        <w:rPr>
          <w:rFonts w:ascii="Source Sans Pro" w:cs="Source Sans Pro" w:eastAsia="Source Sans Pro" w:hAnsi="Source Sans Pro"/>
          <w:b/>
          <w:bCs/>
          <w:color w:val="1D2B26"/>
          <w:sz w:val="20"/>
          <w:szCs w:val="20"/>
        </w:rPr>
        <w:t xml:space="preserve">D. Profiling method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950"/>
        <w:gridCol w:w="950"/>
        <w:gridCol w:w="950"/>
        <w:gridCol w:w="950"/>
        <w:gridCol w:w="1200"/>
      </w:tblGrid>
      <w:tr>
        <w:trPr>
          <w:tblHeader/>
        </w:trPr>
        <w:tc>
          <w:tcPr>
            <w:tcW w:type="dxa" w:w="43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Field</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PA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DA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NC</w:t>
            </w:r>
          </w:p>
        </w:tc>
        <w:tc>
          <w:tcPr>
            <w:tcW w:type="dxa" w:w="120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 %</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D1 Sequencing method</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23</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100%</w:t>
            </w:r>
          </w:p>
        </w:tc>
      </w:tr>
      <w:tr>
        <w:trPr>
          <w:tblHeader w:val="off"/>
        </w:trPr>
        <w:tc>
          <w:tcPr>
            <w:tcW w:type="dxa" w:w="4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D2 16S hypervariable region</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22</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120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95.7%</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D3 Sequencing platform</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22</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95.7%</w:t>
            </w:r>
          </w:p>
        </w:tc>
      </w:tr>
      <w:tr>
        <w:trPr>
          <w:tblHeader w:val="off"/>
        </w:trPr>
        <w:tc>
          <w:tcPr>
            <w:tcW w:type="dxa" w:w="4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D4 Bioinformatic pipeline</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22</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95.7%</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D5 Reference database</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22</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95.7%</w:t>
            </w:r>
          </w:p>
        </w:tc>
      </w:tr>
    </w:tbl>
    <w:p>
      <w:pPr>
        <w:spacing w:after="100"/>
      </w:pPr>
    </w:p>
    <w:p>
      <w:pPr>
        <w:spacing w:after="80" w:before="160"/>
      </w:pPr>
      <w:r>
        <w:rPr>
          <w:rFonts w:ascii="Source Sans Pro" w:cs="Source Sans Pro" w:eastAsia="Source Sans Pro" w:hAnsi="Source Sans Pro"/>
          <w:b/>
          <w:bCs/>
          <w:color w:val="1D2B26"/>
          <w:sz w:val="20"/>
          <w:szCs w:val="20"/>
        </w:rPr>
        <w:t xml:space="preserve">E. Composition outcomes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950"/>
        <w:gridCol w:w="950"/>
        <w:gridCol w:w="950"/>
        <w:gridCol w:w="950"/>
        <w:gridCol w:w="1200"/>
      </w:tblGrid>
      <w:tr>
        <w:trPr>
          <w:tblHeader/>
        </w:trPr>
        <w:tc>
          <w:tcPr>
            <w:tcW w:type="dxa" w:w="43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Field</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PA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DA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NC</w:t>
            </w:r>
          </w:p>
        </w:tc>
        <w:tc>
          <w:tcPr>
            <w:tcW w:type="dxa" w:w="120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 %</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E1 Alpha diversity</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21</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91.3%</w:t>
            </w:r>
          </w:p>
        </w:tc>
      </w:tr>
      <w:tr>
        <w:trPr>
          <w:tblHeader w:val="off"/>
        </w:trPr>
        <w:tc>
          <w:tcPr>
            <w:tcW w:type="dxa" w:w="4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E2 Beta diversity</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87.0%</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E3 Bifidobacterium</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17</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3</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3</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73.9%</w:t>
            </w:r>
          </w:p>
        </w:tc>
      </w:tr>
      <w:tr>
        <w:trPr>
          <w:tblHeader w:val="off"/>
        </w:trPr>
        <w:tc>
          <w:tcPr>
            <w:tcW w:type="dxa" w:w="4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E4 Bacteroides</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22</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95.7%</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E5 Clostridia</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21</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91.3%</w:t>
            </w:r>
          </w:p>
        </w:tc>
      </w:tr>
      <w:tr>
        <w:trPr>
          <w:tblHeader w:val="off"/>
        </w:trPr>
        <w:tc>
          <w:tcPr>
            <w:tcW w:type="dxa" w:w="4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E6 Enterobacteriaceae</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22</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95.7%</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E7 Lactobacillus</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22</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95.7%</w:t>
            </w:r>
          </w:p>
        </w:tc>
      </w:tr>
      <w:tr>
        <w:trPr>
          <w:tblHeader w:val="off"/>
        </w:trPr>
        <w:tc>
          <w:tcPr>
            <w:tcW w:type="dxa" w:w="4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E8 Other differentially abundant taxa</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18</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5</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78.3%</w:t>
            </w:r>
          </w:p>
        </w:tc>
      </w:tr>
    </w:tbl>
    <w:p>
      <w:pPr>
        <w:spacing w:after="100"/>
      </w:pPr>
    </w:p>
    <w:p>
      <w:pPr>
        <w:spacing w:after="80" w:before="160"/>
      </w:pPr>
      <w:r>
        <w:rPr>
          <w:rFonts w:ascii="Source Sans Pro" w:cs="Source Sans Pro" w:eastAsia="Source Sans Pro" w:hAnsi="Source Sans Pro"/>
          <w:b/>
          <w:bCs/>
          <w:color w:val="1D2B26"/>
          <w:sz w:val="20"/>
          <w:szCs w:val="20"/>
        </w:rPr>
        <w:t xml:space="preserve">F. Functional outcomes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950"/>
        <w:gridCol w:w="950"/>
        <w:gridCol w:w="950"/>
        <w:gridCol w:w="950"/>
        <w:gridCol w:w="1200"/>
      </w:tblGrid>
      <w:tr>
        <w:trPr>
          <w:tblHeader/>
        </w:trPr>
        <w:tc>
          <w:tcPr>
            <w:tcW w:type="dxa" w:w="43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Field</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PA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DA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NC</w:t>
            </w:r>
          </w:p>
        </w:tc>
        <w:tc>
          <w:tcPr>
            <w:tcW w:type="dxa" w:w="120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 %</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F1 Functional outcomes (reported/type/direction, combined)</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3</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87.0%</w:t>
            </w:r>
          </w:p>
        </w:tc>
      </w:tr>
    </w:tbl>
    <w:p>
      <w:pPr>
        <w:spacing w:after="100"/>
      </w:pPr>
    </w:p>
    <w:p>
      <w:pPr>
        <w:spacing w:after="80" w:before="160"/>
      </w:pPr>
      <w:r>
        <w:rPr>
          <w:rFonts w:ascii="Source Sans Pro" w:cs="Source Sans Pro" w:eastAsia="Source Sans Pro" w:hAnsi="Source Sans Pro"/>
          <w:b/>
          <w:bCs/>
          <w:color w:val="1D2B26"/>
          <w:sz w:val="20"/>
          <w:szCs w:val="20"/>
        </w:rPr>
        <w:t xml:space="preserve">G. Covariates &amp; age bands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950"/>
        <w:gridCol w:w="950"/>
        <w:gridCol w:w="950"/>
        <w:gridCol w:w="950"/>
        <w:gridCol w:w="1200"/>
      </w:tblGrid>
      <w:tr>
        <w:trPr>
          <w:tblHeader/>
        </w:trPr>
        <w:tc>
          <w:tcPr>
            <w:tcW w:type="dxa" w:w="43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Field</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PA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DA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NC</w:t>
            </w:r>
          </w:p>
        </w:tc>
        <w:tc>
          <w:tcPr>
            <w:tcW w:type="dxa" w:w="120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 %</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G1 Age-stratified results?</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23</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100%</w:t>
            </w:r>
          </w:p>
        </w:tc>
      </w:tr>
      <w:tr>
        <w:trPr>
          <w:tblHeader w:val="off"/>
        </w:trPr>
        <w:tc>
          <w:tcPr>
            <w:tcW w:type="dxa" w:w="4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G2 Covariates adjusted for</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18</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5</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78.3%</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G3 Adequacy of covariate measurement</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18</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5</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78.3%</w:t>
            </w:r>
          </w:p>
        </w:tc>
      </w:tr>
    </w:tbl>
    <w:p>
      <w:pPr>
        <w:spacing w:after="100"/>
      </w:pPr>
    </w:p>
    <w:p>
      <w:pPr>
        <w:spacing w:after="80" w:before="160"/>
      </w:pPr>
      <w:r>
        <w:rPr>
          <w:rFonts w:ascii="Source Sans Pro" w:cs="Source Sans Pro" w:eastAsia="Source Sans Pro" w:hAnsi="Source Sans Pro"/>
          <w:b/>
          <w:bCs/>
          <w:color w:val="1D2B26"/>
          <w:sz w:val="20"/>
          <w:szCs w:val="20"/>
        </w:rPr>
        <w:t xml:space="preserve">H. Race/ethnicity/ancestry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950"/>
        <w:gridCol w:w="950"/>
        <w:gridCol w:w="950"/>
        <w:gridCol w:w="950"/>
        <w:gridCol w:w="1200"/>
      </w:tblGrid>
      <w:tr>
        <w:trPr>
          <w:tblHeader/>
        </w:trPr>
        <w:tc>
          <w:tcPr>
            <w:tcW w:type="dxa" w:w="43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Field</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PA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DA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NC</w:t>
            </w:r>
          </w:p>
        </w:tc>
        <w:tc>
          <w:tcPr>
            <w:tcW w:type="dxa" w:w="120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 %</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H1 (a) Categories as reported</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22</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95.7%</w:t>
            </w:r>
          </w:p>
        </w:tc>
      </w:tr>
      <w:tr>
        <w:trPr>
          <w:tblHeader w:val="off"/>
        </w:trPr>
        <w:tc>
          <w:tcPr>
            <w:tcW w:type="dxa" w:w="4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H2 (b) Construct used</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22</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95.7%</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H3 (c) Ascertainment</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22</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95.7%</w:t>
            </w:r>
          </w:p>
        </w:tc>
      </w:tr>
      <w:tr>
        <w:trPr>
          <w:tblHeader w:val="off"/>
        </w:trPr>
        <w:tc>
          <w:tcPr>
            <w:tcW w:type="dxa" w:w="4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H4 (d) Analytic role</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19</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4</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82.6%</w:t>
            </w:r>
          </w:p>
        </w:tc>
      </w:tr>
    </w:tbl>
    <w:p>
      <w:pPr>
        <w:spacing w:after="100"/>
      </w:pPr>
    </w:p>
    <w:p>
      <w:pPr>
        <w:spacing w:after="80" w:before="160"/>
      </w:pPr>
      <w:r>
        <w:rPr>
          <w:rFonts w:ascii="Source Sans Pro" w:cs="Source Sans Pro" w:eastAsia="Source Sans Pro" w:hAnsi="Source Sans Pro"/>
          <w:b/>
          <w:bCs/>
          <w:color w:val="1D2B26"/>
          <w:sz w:val="20"/>
          <w:szCs w:val="20"/>
        </w:rPr>
        <w:t xml:space="preserve">I. Notes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950"/>
        <w:gridCol w:w="950"/>
        <w:gridCol w:w="950"/>
        <w:gridCol w:w="950"/>
        <w:gridCol w:w="1200"/>
      </w:tblGrid>
      <w:tr>
        <w:trPr>
          <w:tblHeader/>
        </w:trPr>
        <w:tc>
          <w:tcPr>
            <w:tcW w:type="dxa" w:w="43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Field</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PA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DA</w:t>
            </w:r>
          </w:p>
        </w:tc>
        <w:tc>
          <w:tcPr>
            <w:tcW w:type="dxa" w:w="9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NC</w:t>
            </w:r>
          </w:p>
        </w:tc>
        <w:tc>
          <w:tcPr>
            <w:tcW w:type="dxa" w:w="120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 %</w:t>
            </w:r>
          </w:p>
        </w:tc>
      </w:tr>
      <w:tr>
        <w:trPr>
          <w:tblHeader w:val="off"/>
        </w:trPr>
        <w:tc>
          <w:tcPr>
            <w:tcW w:type="dxa" w:w="4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I1 Notes (substantive overlap)</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8</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15</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9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w:t>
            </w:r>
          </w:p>
        </w:tc>
        <w:tc>
          <w:tcPr>
            <w:tcW w:type="dxa" w:w="120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34.8%</w:t>
            </w:r>
          </w:p>
        </w:tc>
      </w:tr>
    </w:tbl>
    <w:p>
      <w:pPr>
        <w:spacing w:after="100"/>
      </w:pPr>
    </w:p>
    <w:p>
      <w:pPr>
        <w:spacing w:after="80" w:before="160"/>
      </w:pPr>
      <w:r>
        <w:rPr>
          <w:rFonts w:ascii="Source Sans Pro" w:cs="Source Sans Pro" w:eastAsia="Source Sans Pro" w:hAnsi="Source Sans Pro"/>
          <w:b/>
          <w:bCs/>
          <w:color w:val="1D2B26"/>
          <w:sz w:val="20"/>
          <w:szCs w:val="20"/>
        </w:rPr>
        <w:t xml:space="preserve">Grand total (34 fields × 23 studies = 782 field-comparisons)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1750"/>
        <w:gridCol w:w="1750"/>
        <w:gridCol w:w="1750"/>
      </w:tblGrid>
      <w:tr>
        <w:trPr>
          <w:tblHeader/>
        </w:trPr>
        <w:tc>
          <w:tcPr>
            <w:tcW w:type="dxa" w:w="23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
            </w:r>
          </w:p>
        </w:tc>
        <w:tc>
          <w:tcPr>
            <w:tcW w:type="dxa" w:w="17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FA</w:t>
            </w:r>
          </w:p>
        </w:tc>
        <w:tc>
          <w:tcPr>
            <w:tcW w:type="dxa" w:w="17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PA</w:t>
            </w:r>
          </w:p>
        </w:tc>
        <w:tc>
          <w:tcPr>
            <w:tcW w:type="dxa" w:w="17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DA</w:t>
            </w:r>
          </w:p>
        </w:tc>
        <w:tc>
          <w:tcPr>
            <w:tcW w:type="dxa" w:w="1750"/>
            <w:shd w:fill="EFE9D8" w:val="clear"/>
            <w:tcMar>
              <w:top w:type="dxa" w:w="80"/>
              <w:left w:type="dxa" w:w="110"/>
              <w:bottom w:type="dxa" w:w="80"/>
              <w:right w:type="dxa" w:w="110"/>
            </w:tcMar>
            <w:vAlign w:val="center"/>
          </w:tcPr>
          <w:p>
            <w:pPr>
              <w:jc w:val="center"/>
            </w:pPr>
            <w:r>
              <w:rPr>
                <w:rFonts w:ascii="Source Sans Pro" w:cs="Source Sans Pro" w:eastAsia="Source Sans Pro" w:hAnsi="Source Sans Pro"/>
                <w:b/>
                <w:bCs/>
                <w:color w:val="4F5E58"/>
                <w:sz w:val="17"/>
                <w:szCs w:val="17"/>
              </w:rPr>
              <w:t xml:space="preserve">NC</w:t>
            </w:r>
          </w:p>
        </w:tc>
      </w:tr>
      <w:tr>
        <w:trPr>
          <w:tblHeader w:val="off"/>
        </w:trPr>
        <w:tc>
          <w:tcPr>
            <w:tcW w:type="dxa" w:w="23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Count</w:t>
            </w:r>
          </w:p>
        </w:tc>
        <w:tc>
          <w:tcPr>
            <w:tcW w:type="dxa" w:w="17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711</w:t>
            </w:r>
          </w:p>
        </w:tc>
        <w:tc>
          <w:tcPr>
            <w:tcW w:type="dxa" w:w="17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60</w:t>
            </w:r>
          </w:p>
        </w:tc>
        <w:tc>
          <w:tcPr>
            <w:tcW w:type="dxa" w:w="17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w:t>
            </w:r>
          </w:p>
        </w:tc>
        <w:tc>
          <w:tcPr>
            <w:tcW w:type="dxa" w:w="1750"/>
            <w:shd w:fill="FBF9F2"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2</w:t>
            </w:r>
          </w:p>
        </w:tc>
      </w:tr>
      <w:tr>
        <w:trPr>
          <w:tblHeader w:val="off"/>
        </w:trPr>
        <w:tc>
          <w:tcPr>
            <w:tcW w:type="dxa" w:w="23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 of 782</w:t>
            </w:r>
          </w:p>
        </w:tc>
        <w:tc>
          <w:tcPr>
            <w:tcW w:type="dxa" w:w="17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90.9%</w:t>
            </w:r>
          </w:p>
        </w:tc>
        <w:tc>
          <w:tcPr>
            <w:tcW w:type="dxa" w:w="17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7.7%</w:t>
            </w:r>
          </w:p>
        </w:tc>
        <w:tc>
          <w:tcPr>
            <w:tcW w:type="dxa" w:w="17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1.2%</w:t>
            </w:r>
          </w:p>
        </w:tc>
        <w:tc>
          <w:tcPr>
            <w:tcW w:type="dxa" w:w="1750"/>
            <w:shd w:fill="FFFFFF" w:val="clear"/>
            <w:tcMar>
              <w:top w:type="dxa" w:w="80"/>
              <w:left w:type="dxa" w:w="110"/>
              <w:bottom w:type="dxa" w:w="80"/>
              <w:right w:type="dxa" w:w="110"/>
            </w:tcMar>
            <w:vAlign w:val="center"/>
          </w:tcPr>
          <w:p>
            <w:pPr>
              <w:jc w:val="center"/>
            </w:pPr>
            <w:r>
              <w:rPr>
                <w:rFonts w:ascii="Source Sans Pro" w:cs="Source Sans Pro" w:eastAsia="Source Sans Pro" w:hAnsi="Source Sans Pro"/>
                <w:b w:val="false"/>
                <w:bCs w:val="false"/>
                <w:color w:val="1D2B26"/>
                <w:sz w:val="17"/>
                <w:szCs w:val="17"/>
              </w:rPr>
              <w:t xml:space="preserve">0.3%</w:t>
            </w:r>
          </w:p>
        </w:tc>
      </w:tr>
    </w:tbl>
    <w:p>
      <w:pPr>
        <w:pBdr>
          <w:bottom w:val="single" w:color="C9BFA6" w:sz="6" w:space="1"/>
        </w:pBdr>
        <w:spacing w:after="200" w:before="120"/>
      </w:pPr>
    </w:p>
    <w:p>
      <w:pPr>
        <w:pStyle w:val="Heading2"/>
        <w:spacing w:after="140" w:before="320"/>
      </w:pPr>
      <w:r>
        <w:rPr>
          <w:rFonts w:ascii="Georgia" w:cs="Georgia" w:eastAsia="Georgia" w:hAnsi="Georgia"/>
          <w:b/>
          <w:bCs/>
          <w:color w:val="1D4A3D"/>
        </w:rPr>
        <w:t xml:space="preserve">2. Overall agreement rate</w:t>
      </w:r>
    </w:p>
    <w:p>
      <w:pPr>
        <w:spacing w:after="140" w:before="0"/>
      </w:pPr>
      <w:r>
        <w:rPr>
          <w:rFonts w:ascii="Source Sans Pro" w:cs="Source Sans Pro" w:eastAsia="Source Sans Pro" w:hAnsi="Source Sans Pro"/>
          <w:b/>
          <w:bCs/>
          <w:color w:val="1D2B26"/>
          <w:sz w:val="21"/>
          <w:szCs w:val="21"/>
        </w:rPr>
        <w:t xml:space="preserve">771 of 782 total field-comparisons (98.6%) showed full or partial agreement</w:t>
      </w:r>
      <w:r>
        <w:rPr>
          <w:rFonts w:ascii="Source Sans Pro" w:cs="Source Sans Pro" w:eastAsia="Source Sans Pro" w:hAnsi="Source Sans Pro"/>
          <w:color w:val="1D2B26"/>
          <w:sz w:val="21"/>
          <w:szCs w:val="21"/>
        </w:rPr>
        <w:t xml:space="preserve"> between the Philip and Alaa extractions across all 23 studies and 34 fields (711 full agreement, 60 partial agreement). Restricting to full agreement alone, the two independent passes matched exactly on </w:t>
      </w:r>
      <w:r>
        <w:rPr>
          <w:rFonts w:ascii="Source Sans Pro" w:cs="Source Sans Pro" w:eastAsia="Source Sans Pro" w:hAnsi="Source Sans Pro"/>
          <w:b/>
          <w:bCs/>
          <w:color w:val="1D2B26"/>
          <w:sz w:val="21"/>
          <w:szCs w:val="21"/>
        </w:rPr>
        <w:t xml:space="preserve">711 of 782 field-comparisons (90.9%)</w:t>
      </w:r>
      <w:r>
        <w:rPr>
          <w:rFonts w:ascii="Source Sans Pro" w:cs="Source Sans Pro" w:eastAsia="Source Sans Pro" w:hAnsi="Source Sans Pro"/>
          <w:color w:val="1D2B26"/>
          <w:sz w:val="21"/>
          <w:szCs w:val="21"/>
        </w:rPr>
        <w:t xml:space="preserve">. Nine field-comparisons (1.2%) were scored as genuine disagreements, and two (0.3%) as not comparable (both involving one extractor finding text the other's pass states is not present).</w:t>
      </w:r>
    </w:p>
    <w:p>
      <w:pPr>
        <w:spacing w:after="140" w:before="0"/>
      </w:pPr>
      <w:r>
        <w:rPr>
          <w:rFonts w:ascii="Source Sans Pro" w:cs="Source Sans Pro" w:eastAsia="Source Sans Pro" w:hAnsi="Source Sans Pro"/>
          <w:color w:val="1D2B26"/>
          <w:sz w:val="21"/>
          <w:szCs w:val="21"/>
        </w:rPr>
        <w:t xml:space="preserve">This is a high-agreement calibration result by the usual standard for duplicate extraction. The more important signal for the review team is not the headline rate but where the residual disagreement concentrates (Section 5) and what kind of error each extractor is prone to (Section 4) — a small number of fields (Bifidobacterium, Notes, covariate-handling fields) account for a disproportionate share of the non-full-agreement cases, and several of the disagreements were verifiable as one extractor being factually wrong against the source text rather than a genuine difference in judgment.</w:t>
      </w:r>
    </w:p>
    <w:p>
      <w:r>
        <w:br w:type="page"/>
      </w:r>
    </w:p>
    <w:p>
      <w:pPr>
        <w:pStyle w:val="Heading1"/>
        <w:spacing w:after="140" w:before="320"/>
      </w:pPr>
      <w:r>
        <w:rPr>
          <w:rFonts w:ascii="Georgia" w:cs="Georgia" w:eastAsia="Georgia" w:hAnsi="Georgia"/>
          <w:b/>
          <w:bCs/>
          <w:color w:val="1D4A3D"/>
        </w:rPr>
        <w:t xml:space="preserve">4. Notable disagreements</w:t>
      </w:r>
    </w:p>
    <w:p>
      <w:pPr>
        <w:spacing w:after="140" w:before="0"/>
      </w:pPr>
      <w:r>
        <w:rPr>
          <w:rFonts w:ascii="Source Sans Pro" w:cs="Source Sans Pro" w:eastAsia="Source Sans Pro" w:hAnsi="Source Sans Pro"/>
          <w:color w:val="1D2B26"/>
          <w:sz w:val="21"/>
          <w:szCs w:val="21"/>
        </w:rPr>
        <w:t xml:space="preserve">Only the genuinely interesting cases are detailed below — different substantive conclusions, different design/risk-of-bias-tool implications, or different funding/conflict-of-interest reads. Each entry gives both readings and a one-sentence explanation of why it is a real disagreement, not just a difference in phrasing. Findings 7, 8, and 11–13 were additionally verified directly against the underlying source paper, not just compared draft-to-draft.</w:t>
      </w:r>
    </w:p>
    <w:p>
      <w:pPr>
        <w:spacing w:after="60" w:before="180"/>
      </w:pPr>
      <w:r>
        <w:rPr>
          <w:rFonts w:ascii="Source Sans Pro" w:cs="Source Sans Pro" w:eastAsia="Source Sans Pro" w:hAnsi="Source Sans Pro"/>
          <w:b/>
          <w:bCs/>
          <w:i/>
          <w:iCs/>
          <w:color w:val="4F5E58"/>
          <w:sz w:val="19"/>
          <w:szCs w:val="19"/>
        </w:rPr>
        <w:t xml:space="preserve">Batch 1 (#143, #364, #467, #582)</w:t>
      </w:r>
    </w:p>
    <w:p>
      <w:pPr>
        <w:spacing w:after="80" w:before="220"/>
      </w:pPr>
      <w:r>
        <w:rPr>
          <w:rFonts w:ascii="Source Sans Pro" w:cs="Source Sans Pro" w:eastAsia="Source Sans Pro" w:hAnsi="Source Sans Pro"/>
          <w:b/>
          <w:bCs/>
          <w:color w:val="1D4A3D"/>
          <w:sz w:val="21"/>
          <w:szCs w:val="21"/>
        </w:rPr>
        <w:t xml:space="preserve">Finding 1 — #364 (Patangia 2025) — Enterobacteriaceae direction</w:t>
      </w:r>
    </w:p>
    <w:p>
      <w:pPr>
        <w:spacing w:after="140" w:before="0"/>
      </w:pPr>
      <w:r>
        <w:rPr>
          <w:rFonts w:ascii="Source Sans Pro" w:cs="Source Sans Pro" w:eastAsia="Source Sans Pro" w:hAnsi="Source Sans Pro"/>
          <w:b/>
          <w:bCs/>
          <w:color w:val="1D2B26"/>
          <w:sz w:val="21"/>
          <w:szCs w:val="21"/>
        </w:rPr>
        <w:t xml:space="preserve">Philip: </w:t>
      </w:r>
      <w:r>
        <w:rPr>
          <w:rFonts w:ascii="Source Sans Pro" w:cs="Source Sans Pro" w:eastAsia="Source Sans Pro" w:hAnsi="Source Sans Pro"/>
          <w:color w:val="1D2B26"/>
          <w:sz w:val="21"/>
          <w:szCs w:val="21"/>
        </w:rPr>
        <w:t xml:space="preserve">Not estimable as a BF-vs-formula direction — </w:t>
      </w:r>
      <w:r>
        <w:rPr>
          <w:rFonts w:ascii="Source Sans Pro" w:cs="Source Sans Pro" w:eastAsia="Source Sans Pro" w:hAnsi="Source Sans Pro"/>
          <w:i/>
          <w:iCs/>
          <w:color w:val="1D2B26"/>
          <w:sz w:val="21"/>
          <w:szCs w:val="21"/>
        </w:rPr>
        <w:t xml:space="preserve">E. coli</w:t>
      </w:r>
      <w:r>
        <w:rPr>
          <w:rFonts w:ascii="Source Sans Pro" w:cs="Source Sans Pro" w:eastAsia="Source Sans Pro" w:hAnsi="Source Sans Pro"/>
          <w:color w:val="1D2B26"/>
          <w:sz w:val="21"/>
          <w:szCs w:val="21"/>
        </w:rPr>
        <w:t xml:space="preserve">... showed a decreasing trend over time in every group alike, not a between-group direction difference.</w:t>
      </w:r>
    </w:p>
    <w:p>
      <w:pPr>
        <w:spacing w:after="140" w:before="0"/>
      </w:pPr>
      <w:r>
        <w:rPr>
          <w:rFonts w:ascii="Source Sans Pro" w:cs="Source Sans Pro" w:eastAsia="Source Sans Pro" w:hAnsi="Source Sans Pro"/>
          <w:b/>
          <w:bCs/>
          <w:color w:val="1D2B26"/>
          <w:sz w:val="21"/>
          <w:szCs w:val="21"/>
        </w:rPr>
        <w:t xml:space="preserve">Alaa: </w:t>
      </w:r>
      <w:r>
        <w:rPr>
          <w:rFonts w:ascii="Source Sans Pro" w:cs="Source Sans Pro" w:eastAsia="Source Sans Pro" w:hAnsi="Source Sans Pro"/>
          <w:color w:val="1D2B26"/>
          <w:sz w:val="21"/>
          <w:szCs w:val="21"/>
        </w:rPr>
        <w:t xml:space="preserve">Higher in breastfed — inferred from the species-level finding that </w:t>
      </w:r>
      <w:r>
        <w:rPr>
          <w:rFonts w:ascii="Source Sans Pro" w:cs="Source Sans Pro" w:eastAsia="Source Sans Pro" w:hAnsi="Source Sans Pro"/>
          <w:i/>
          <w:iCs/>
          <w:color w:val="1D2B26"/>
          <w:sz w:val="21"/>
          <w:szCs w:val="21"/>
        </w:rPr>
        <w:t xml:space="preserve">E. coli</w:t>
      </w:r>
      <w:r>
        <w:rPr>
          <w:rFonts w:ascii="Source Sans Pro" w:cs="Source Sans Pro" w:eastAsia="Source Sans Pro" w:hAnsi="Source Sans Pro"/>
          <w:color w:val="1D2B26"/>
          <w:sz w:val="21"/>
          <w:szCs w:val="21"/>
        </w:rPr>
        <w:t xml:space="preserve">... 'was always associated with the Exc Breast Fed group' in Songbird differential analysis.</w:t>
      </w:r>
    </w:p>
    <w:p>
      <w:pPr>
        <w:spacing w:after="140" w:before="0"/>
      </w:pPr>
      <w:r>
        <w:rPr>
          <w:rFonts w:ascii="Source Sans Pro" w:cs="Source Sans Pro" w:eastAsia="Source Sans Pro" w:hAnsi="Source Sans Pro"/>
          <w:color w:val="4F5E58"/>
          <w:sz w:val="21"/>
          <w:szCs w:val="21"/>
        </w:rPr>
        <w:t xml:space="preserve">Why genuine: the two drafts reach opposite conclusions about whether this paper's own data support a breastfed-vs-formula direction for this taxon — Philip read the E. coli finding as a time effect common to all groups, Alaa read the same taxon's Songbird ranking as a genuine between-group signal.</w:t>
      </w:r>
    </w:p>
    <w:p>
      <w:pPr>
        <w:spacing w:after="80" w:before="220"/>
      </w:pPr>
      <w:r>
        <w:rPr>
          <w:rFonts w:ascii="Source Sans Pro" w:cs="Source Sans Pro" w:eastAsia="Source Sans Pro" w:hAnsi="Source Sans Pro"/>
          <w:b/>
          <w:bCs/>
          <w:color w:val="1D4A3D"/>
          <w:sz w:val="21"/>
          <w:szCs w:val="21"/>
        </w:rPr>
        <w:t xml:space="preserve">Finding 2 — #467 (Christensen 2024) — Bifidobacterium, genus level</w:t>
      </w:r>
    </w:p>
    <w:p>
      <w:pPr>
        <w:spacing w:after="140" w:before="0"/>
      </w:pPr>
      <w:r>
        <w:rPr>
          <w:rFonts w:ascii="Source Sans Pro" w:cs="Source Sans Pro" w:eastAsia="Source Sans Pro" w:hAnsi="Source Sans Pro"/>
          <w:b/>
          <w:bCs/>
          <w:color w:val="1D2B26"/>
          <w:sz w:val="21"/>
          <w:szCs w:val="21"/>
        </w:rPr>
        <w:t xml:space="preserve">Philip: </w:t>
      </w:r>
      <w:r>
        <w:rPr>
          <w:rFonts w:ascii="Source Sans Pro" w:cs="Source Sans Pro" w:eastAsia="Source Sans Pro" w:hAnsi="Source Sans Pro"/>
          <w:color w:val="1D2B26"/>
          <w:sz w:val="21"/>
          <w:szCs w:val="21"/>
        </w:rPr>
        <w:t xml:space="preserve">No difference at genus level — explicitly tested and stated: 'No differences in abundance of the Bifidobacterium genus... were detected between study groups.'</w:t>
      </w:r>
    </w:p>
    <w:p>
      <w:pPr>
        <w:spacing w:after="140" w:before="0"/>
      </w:pPr>
      <w:r>
        <w:rPr>
          <w:rFonts w:ascii="Source Sans Pro" w:cs="Source Sans Pro" w:eastAsia="Source Sans Pro" w:hAnsi="Source Sans Pro"/>
          <w:b/>
          <w:bCs/>
          <w:color w:val="1D2B26"/>
          <w:sz w:val="21"/>
          <w:szCs w:val="21"/>
        </w:rPr>
        <w:t xml:space="preserve">Alaa: </w:t>
      </w:r>
      <w:r>
        <w:rPr>
          <w:rFonts w:ascii="Source Sans Pro" w:cs="Source Sans Pro" w:eastAsia="Source Sans Pro" w:hAnsi="Source Sans Pro"/>
          <w:color w:val="1D2B26"/>
          <w:sz w:val="21"/>
          <w:szCs w:val="21"/>
        </w:rPr>
        <w:t xml:space="preserve">Discrepant by method within the same paper. Wilcoxon... no difference... DESeq2 on ASV-level data: formula groups had higher Bifidobacterium-classified ASVs vs. HM at Day 60... Flagging the Wilcoxon-vs-DESeq2 genus-level contradiction explicitly rather than picking one.</w:t>
      </w:r>
    </w:p>
    <w:p>
      <w:pPr>
        <w:spacing w:after="140" w:before="0"/>
      </w:pPr>
      <w:r>
        <w:rPr>
          <w:rFonts w:ascii="Source Sans Pro" w:cs="Source Sans Pro" w:eastAsia="Source Sans Pro" w:hAnsi="Source Sans Pro"/>
          <w:color w:val="4F5E58"/>
          <w:sz w:val="21"/>
          <w:szCs w:val="21"/>
        </w:rPr>
        <w:t xml:space="preserve">Why genuine: Philip reports a clean, settled null; Alaa surfaces a within-paper method-dependent contradiction that changes the overall characterization from "no difference" to "discrepant/method-dependent" — directly relevant to this review's own RQ1.</w:t>
      </w:r>
    </w:p>
    <w:p>
      <w:pPr>
        <w:spacing w:after="80" w:before="220"/>
      </w:pPr>
      <w:r>
        <w:rPr>
          <w:rFonts w:ascii="Source Sans Pro" w:cs="Source Sans Pro" w:eastAsia="Source Sans Pro" w:hAnsi="Source Sans Pro"/>
          <w:b/>
          <w:bCs/>
          <w:color w:val="1D4A3D"/>
          <w:sz w:val="21"/>
          <w:szCs w:val="21"/>
        </w:rPr>
        <w:t xml:space="preserve">Finding 3 — #582 (Heppner 2024) — Bifidobacterium, overall verdict</w:t>
      </w:r>
    </w:p>
    <w:p>
      <w:pPr>
        <w:spacing w:after="140" w:before="0"/>
      </w:pPr>
      <w:r>
        <w:rPr>
          <w:rFonts w:ascii="Source Sans Pro" w:cs="Source Sans Pro" w:eastAsia="Source Sans Pro" w:hAnsi="Source Sans Pro"/>
          <w:b/>
          <w:bCs/>
          <w:color w:val="1D2B26"/>
          <w:sz w:val="21"/>
          <w:szCs w:val="21"/>
        </w:rPr>
        <w:t xml:space="preserve">Philip: </w:t>
      </w:r>
      <w:r>
        <w:rPr>
          <w:rFonts w:ascii="Source Sans Pro" w:cs="Source Sans Pro" w:eastAsia="Source Sans Pro" w:hAnsi="Source Sans Pro"/>
          <w:color w:val="1D2B26"/>
          <w:sz w:val="21"/>
          <w:szCs w:val="21"/>
        </w:rPr>
        <w:t xml:space="preserve">Not estimable as a single BF-vs-formula direction... Direction depends entirely on which formula arm and which timepoint.</w:t>
      </w:r>
    </w:p>
    <w:p>
      <w:pPr>
        <w:spacing w:after="140" w:before="0"/>
      </w:pPr>
      <w:r>
        <w:rPr>
          <w:rFonts w:ascii="Source Sans Pro" w:cs="Source Sans Pro" w:eastAsia="Source Sans Pro" w:hAnsi="Source Sans Pro"/>
          <w:b/>
          <w:bCs/>
          <w:color w:val="1D2B26"/>
          <w:sz w:val="21"/>
          <w:szCs w:val="21"/>
        </w:rPr>
        <w:t xml:space="preserve">Alaa: </w:t>
      </w:r>
      <w:r>
        <w:rPr>
          <w:rFonts w:ascii="Source Sans Pro" w:cs="Source Sans Pro" w:eastAsia="Source Sans Pro" w:hAnsi="Source Sans Pro"/>
          <w:color w:val="1D2B26"/>
          <w:sz w:val="21"/>
          <w:szCs w:val="21"/>
        </w:rPr>
        <w:t xml:space="preserve">No difference (BF vs. formula, direct comparison)... 'complete loss of significance between any of the interventional groups at 3 months.'</w:t>
      </w:r>
    </w:p>
    <w:p>
      <w:pPr>
        <w:spacing w:after="140" w:before="0"/>
      </w:pPr>
      <w:r>
        <w:rPr>
          <w:rFonts w:ascii="Source Sans Pro" w:cs="Source Sans Pro" w:eastAsia="Source Sans Pro" w:hAnsi="Source Sans Pro"/>
          <w:color w:val="4F5E58"/>
          <w:sz w:val="21"/>
          <w:szCs w:val="21"/>
        </w:rPr>
        <w:t xml:space="preserve">Why genuine: both drafts cite the same underlying arm/timepoint-dependent data but resolve it into different categorical verdicts on the review's four-way scale — a small case study in how two careful readers can differ on collapsing ambiguous multi-arm data into a fixed scale.</w:t>
      </w:r>
    </w:p>
    <w:p>
      <w:pPr>
        <w:spacing w:after="80" w:before="220"/>
      </w:pPr>
      <w:r>
        <w:rPr>
          <w:rFonts w:ascii="Source Sans Pro" w:cs="Source Sans Pro" w:eastAsia="Source Sans Pro" w:hAnsi="Source Sans Pro"/>
          <w:b/>
          <w:bCs/>
          <w:color w:val="1D4A3D"/>
          <w:sz w:val="21"/>
          <w:szCs w:val="21"/>
        </w:rPr>
        <w:t xml:space="preserve">Finding 4 — #582 (Heppner 2024) — Classification used / which contrast this study actually extracts</w:t>
      </w:r>
    </w:p>
    <w:p>
      <w:pPr>
        <w:spacing w:after="140" w:before="0"/>
      </w:pPr>
      <w:r>
        <w:rPr>
          <w:rFonts w:ascii="Source Sans Pro" w:cs="Source Sans Pro" w:eastAsia="Source Sans Pro" w:hAnsi="Source Sans Pro"/>
          <w:b/>
          <w:bCs/>
          <w:color w:val="1D2B26"/>
          <w:sz w:val="21"/>
          <w:szCs w:val="21"/>
        </w:rPr>
        <w:t xml:space="preserve">Philip's flagged nuance: </w:t>
      </w:r>
      <w:r>
        <w:rPr>
          <w:rFonts w:ascii="Source Sans Pro" w:cs="Source Sans Pro" w:eastAsia="Source Sans Pro" w:hAnsi="Source Sans Pro"/>
          <w:color w:val="1D2B26"/>
          <w:sz w:val="21"/>
          <w:szCs w:val="21"/>
        </w:rPr>
        <w:t xml:space="preserve">an ad hoc, post-hoc mixed-feeding subgroup identified only in the 3-month metabolomics analysis.</w:t>
      </w:r>
    </w:p>
    <w:p>
      <w:pPr>
        <w:spacing w:after="140" w:before="0"/>
      </w:pPr>
      <w:r>
        <w:rPr>
          <w:rFonts w:ascii="Source Sans Pro" w:cs="Source Sans Pro" w:eastAsia="Source Sans Pro" w:hAnsi="Source Sans Pro"/>
          <w:b/>
          <w:bCs/>
          <w:color w:val="1D2B26"/>
          <w:sz w:val="21"/>
          <w:szCs w:val="21"/>
        </w:rPr>
        <w:t xml:space="preserve">Alaa's flagged nuance: </w:t>
      </w:r>
      <w:r>
        <w:rPr>
          <w:rFonts w:ascii="Source Sans Pro" w:cs="Source Sans Pro" w:eastAsia="Source Sans Pro" w:hAnsi="Source Sans Pro"/>
          <w:color w:val="1D2B26"/>
          <w:sz w:val="21"/>
          <w:szCs w:val="21"/>
        </w:rPr>
        <w:t xml:space="preserve">Recorded as: core extractable contrast = BF vs. formula A; formula B/C/D are supplementary intra-formula comparisons, not the review's primary extracted contrast.</w:t>
      </w:r>
    </w:p>
    <w:p>
      <w:pPr>
        <w:spacing w:after="140" w:before="0"/>
      </w:pPr>
      <w:r>
        <w:rPr>
          <w:rFonts w:ascii="Source Sans Pro" w:cs="Source Sans Pro" w:eastAsia="Source Sans Pro" w:hAnsi="Source Sans Pro"/>
          <w:color w:val="4F5E58"/>
          <w:sz w:val="21"/>
          <w:szCs w:val="21"/>
        </w:rPr>
        <w:t xml:space="preserve">Why genuine: a materially different read of what comparison the study contributes to the review — worth the review team resolving explicitly rather than leaving implicit.</w:t>
      </w:r>
    </w:p>
    <w:p>
      <w:pPr>
        <w:spacing w:after="60" w:before="220"/>
      </w:pPr>
      <w:r>
        <w:rPr>
          <w:rFonts w:ascii="Source Sans Pro" w:cs="Source Sans Pro" w:eastAsia="Source Sans Pro" w:hAnsi="Source Sans Pro"/>
          <w:b/>
          <w:bCs/>
          <w:i/>
          <w:iCs/>
          <w:color w:val="4F5E58"/>
          <w:sz w:val="19"/>
          <w:szCs w:val="19"/>
        </w:rPr>
        <w:t xml:space="preserve">Batch 2 (#621, #729, #814, #833)</w:t>
      </w:r>
    </w:p>
    <w:p>
      <w:pPr>
        <w:spacing w:after="140" w:before="0"/>
      </w:pPr>
      <w:r>
        <w:rPr>
          <w:rFonts w:ascii="Source Sans Pro" w:cs="Source Sans Pro" w:eastAsia="Source Sans Pro" w:hAnsi="Source Sans Pro"/>
          <w:color w:val="4F5E58"/>
          <w:sz w:val="21"/>
          <w:szCs w:val="21"/>
        </w:rPr>
        <w:t xml:space="preserve">Batch 2 is the most concordant batch — no outright contradictions on a direction-of-effect field, only completeness/depth differences. Two are worth surfacing because they show a real difference in how thoroughly a nuance was captured, not just phrasing:</w:t>
      </w:r>
    </w:p>
    <w:p>
      <w:pPr>
        <w:spacing w:after="80" w:before="220"/>
      </w:pPr>
      <w:r>
        <w:rPr>
          <w:rFonts w:ascii="Source Sans Pro" w:cs="Source Sans Pro" w:eastAsia="Source Sans Pro" w:hAnsi="Source Sans Pro"/>
          <w:b/>
          <w:bCs/>
          <w:color w:val="1D4A3D"/>
          <w:sz w:val="21"/>
          <w:szCs w:val="21"/>
        </w:rPr>
        <w:t xml:space="preserve">Finding 5 — #621 (Parkin 2024) — whether breastfed-group Bifidobacterium taxa track solid-food timing</w:t>
      </w:r>
    </w:p>
    <w:p>
      <w:pPr>
        <w:spacing w:after="140" w:before="0"/>
      </w:pPr>
      <w:r>
        <w:rPr>
          <w:rFonts w:ascii="Source Sans Pro" w:cs="Source Sans Pro" w:eastAsia="Source Sans Pro" w:hAnsi="Source Sans Pro"/>
          <w:b/>
          <w:bCs/>
          <w:color w:val="1D2B26"/>
          <w:sz w:val="21"/>
          <w:szCs w:val="21"/>
        </w:rPr>
        <w:t xml:space="preserve">Philip (Other taxa): </w:t>
      </w:r>
      <w:r>
        <w:rPr>
          <w:rFonts w:ascii="Source Sans Pro" w:cs="Source Sans Pro" w:eastAsia="Source Sans Pro" w:hAnsi="Source Sans Pro"/>
          <w:color w:val="1D2B26"/>
          <w:sz w:val="21"/>
          <w:szCs w:val="21"/>
        </w:rPr>
        <w:t xml:space="preserve">B. infantis, B. longum, B. breve dominant in breastfed group irrespective of solid-food timing.</w:t>
      </w:r>
    </w:p>
    <w:p>
      <w:pPr>
        <w:spacing w:after="140" w:before="0"/>
      </w:pPr>
      <w:r>
        <w:rPr>
          <w:rFonts w:ascii="Source Sans Pro" w:cs="Source Sans Pro" w:eastAsia="Source Sans Pro" w:hAnsi="Source Sans Pro"/>
          <w:b/>
          <w:bCs/>
          <w:color w:val="1D2B26"/>
          <w:sz w:val="21"/>
          <w:szCs w:val="21"/>
        </w:rPr>
        <w:t xml:space="preserve">Alaa (Other taxa): </w:t>
      </w:r>
      <w:r>
        <w:rPr>
          <w:rFonts w:ascii="Source Sans Pro" w:cs="Source Sans Pro" w:eastAsia="Source Sans Pro" w:hAnsi="Source Sans Pro"/>
          <w:color w:val="1D2B26"/>
          <w:sz w:val="21"/>
          <w:szCs w:val="21"/>
        </w:rPr>
        <w:t xml:space="preserve">in predominantly breastfed infants, B. infantis and B. breve more abundant with solids introduced after 6 months, B. bifidum more abundant with solids before 5 months, B. infantis abundance significantly lower with solids before 5 months.</w:t>
      </w:r>
    </w:p>
    <w:p>
      <w:pPr>
        <w:spacing w:after="140" w:before="0"/>
      </w:pPr>
      <w:r>
        <w:rPr>
          <w:rFonts w:ascii="Source Sans Pro" w:cs="Source Sans Pro" w:eastAsia="Source Sans Pro" w:hAnsi="Source Sans Pro"/>
          <w:color w:val="4F5E58"/>
          <w:sz w:val="21"/>
          <w:szCs w:val="21"/>
        </w:rPr>
        <w:t xml:space="preserve">Why genuine: Philip's phrasing implies stability regardless of solids timing, while Alaa documents a specific, statistically supported timing-dependence for those same taxa — relevant to this review's dose/timing framing, and a difference a verifier should resolve by re-checking the source table.</w:t>
      </w:r>
    </w:p>
    <w:p>
      <w:pPr>
        <w:spacing w:after="80" w:before="220"/>
      </w:pPr>
      <w:r>
        <w:rPr>
          <w:rFonts w:ascii="Source Sans Pro" w:cs="Source Sans Pro" w:eastAsia="Source Sans Pro" w:hAnsi="Source Sans Pro"/>
          <w:b/>
          <w:bCs/>
          <w:color w:val="1D4A3D"/>
          <w:sz w:val="21"/>
          <w:szCs w:val="21"/>
        </w:rPr>
        <w:t xml:space="preserve">Finding 6 — #833 (Barnett 2023) — how many different ways "exclusive breastfeeding" is operationalized within one paper</w:t>
      </w:r>
    </w:p>
    <w:p>
      <w:pPr>
        <w:spacing w:after="140" w:before="0"/>
      </w:pPr>
      <w:r>
        <w:rPr>
          <w:rFonts w:ascii="Source Sans Pro" w:cs="Source Sans Pro" w:eastAsia="Source Sans Pro" w:hAnsi="Source Sans Pro"/>
          <w:b/>
          <w:bCs/>
          <w:color w:val="1D2B26"/>
          <w:sz w:val="21"/>
          <w:szCs w:val="21"/>
        </w:rPr>
        <w:t xml:space="preserve">Philip (Classification used): </w:t>
      </w:r>
      <w:r>
        <w:rPr>
          <w:rFonts w:ascii="Source Sans Pro" w:cs="Source Sans Pro" w:eastAsia="Source Sans Pro" w:hAnsi="Source Sans Pro"/>
          <w:color w:val="1D2B26"/>
          <w:sz w:val="21"/>
          <w:szCs w:val="21"/>
        </w:rPr>
        <w:t xml:space="preserve">'Other' — a continuous proportion-of-breastfeeding variable... a new instance of this review's 'other' category.</w:t>
      </w:r>
    </w:p>
    <w:p>
      <w:pPr>
        <w:spacing w:after="140" w:before="0"/>
      </w:pPr>
      <w:r>
        <w:rPr>
          <w:rFonts w:ascii="Source Sans Pro" w:cs="Source Sans Pro" w:eastAsia="Source Sans Pro" w:hAnsi="Source Sans Pro"/>
          <w:b/>
          <w:bCs/>
          <w:color w:val="1D2B26"/>
          <w:sz w:val="21"/>
          <w:szCs w:val="21"/>
        </w:rPr>
        <w:t xml:space="preserve">Alaa (Classification used): </w:t>
      </w:r>
      <w:r>
        <w:rPr>
          <w:rFonts w:ascii="Source Sans Pro" w:cs="Source Sans Pro" w:eastAsia="Source Sans Pro" w:hAnsi="Source Sans Pro"/>
          <w:color w:val="1D2B26"/>
          <w:sz w:val="21"/>
          <w:szCs w:val="21"/>
        </w:rPr>
        <w:t xml:space="preserve">Heterogeneous within the same paper... Three different operational meanings of 'exclusive'/breastfeeding exposure within one paper — flagging that the HMO sub-cohort's own label 'exclusively breastfed' is actually a ≥80%-of-feeds threshold, which by this review's own terminology is predominant, not exclusive.</w:t>
      </w:r>
    </w:p>
    <w:p>
      <w:pPr>
        <w:spacing w:after="140" w:before="0"/>
      </w:pPr>
      <w:r>
        <w:rPr>
          <w:rFonts w:ascii="Source Sans Pro" w:cs="Source Sans Pro" w:eastAsia="Source Sans Pro" w:hAnsi="Source Sans Pro"/>
          <w:color w:val="4F5E58"/>
          <w:sz w:val="21"/>
          <w:szCs w:val="21"/>
        </w:rPr>
        <w:t xml:space="preserve">Why genuine: Alaa catches a mislabeling in the source paper itself that Philip's entry does not flag at all — a completeness gap with direct relevance to this review's exposure-classification research question.</w:t>
      </w:r>
    </w:p>
    <w:p>
      <w:pPr>
        <w:spacing w:after="60" w:before="220"/>
      </w:pPr>
      <w:r>
        <w:rPr>
          <w:rFonts w:ascii="Source Sans Pro" w:cs="Source Sans Pro" w:eastAsia="Source Sans Pro" w:hAnsi="Source Sans Pro"/>
          <w:b/>
          <w:bCs/>
          <w:i/>
          <w:iCs/>
          <w:color w:val="4F5E58"/>
          <w:sz w:val="19"/>
          <w:szCs w:val="19"/>
        </w:rPr>
        <w:t xml:space="preserve">Batch 3 (#992, #1063, #1236, #1245) — two disagreements independently verified against source</w:t>
      </w:r>
    </w:p>
    <w:p>
      <w:pPr>
        <w:spacing w:after="80" w:before="220"/>
      </w:pPr>
      <w:r>
        <w:rPr>
          <w:rFonts w:ascii="Source Sans Pro" w:cs="Source Sans Pro" w:eastAsia="Source Sans Pro" w:hAnsi="Source Sans Pro"/>
          <w:b/>
          <w:bCs/>
          <w:color w:val="1D4A3D"/>
          <w:sz w:val="21"/>
          <w:szCs w:val="21"/>
        </w:rPr>
        <w:t xml:space="preserve">Finding 7 — #992 (Rosas-Salazar 2022) — bioinformatic pipeline and reference database</w:t>
      </w:r>
    </w:p>
    <w:p>
      <w:pPr>
        <w:spacing w:after="140" w:before="0"/>
      </w:pPr>
      <w:r>
        <w:rPr>
          <w:rFonts w:ascii="Source Sans Pro" w:cs="Source Sans Pro" w:eastAsia="Source Sans Pro" w:hAnsi="Source Sans Pro"/>
          <w:b/>
          <w:bCs/>
          <w:color w:val="1D2B26"/>
          <w:sz w:val="21"/>
          <w:szCs w:val="21"/>
        </w:rPr>
        <w:t xml:space="preserve">Philip (pipeline): </w:t>
      </w:r>
      <w:r>
        <w:rPr>
          <w:rFonts w:ascii="Source Sans Pro" w:cs="Source Sans Pro" w:eastAsia="Source Sans Pro" w:hAnsi="Source Sans Pro"/>
          <w:color w:val="1D2B26"/>
          <w:sz w:val="21"/>
          <w:szCs w:val="21"/>
        </w:rPr>
        <w:t xml:space="preserve">DADA2 (ASV-based inference), with contaminant-sequence removal per Davis et al. method.</w:t>
      </w:r>
    </w:p>
    <w:p>
      <w:pPr>
        <w:spacing w:after="140" w:before="0"/>
      </w:pPr>
      <w:r>
        <w:rPr>
          <w:rFonts w:ascii="Source Sans Pro" w:cs="Source Sans Pro" w:eastAsia="Source Sans Pro" w:hAnsi="Source Sans Pro"/>
          <w:b/>
          <w:bCs/>
          <w:color w:val="1D2B26"/>
          <w:sz w:val="21"/>
          <w:szCs w:val="21"/>
        </w:rPr>
        <w:t xml:space="preserve">Alaa (pipeline): </w:t>
      </w:r>
      <w:r>
        <w:rPr>
          <w:rFonts w:ascii="Source Sans Pro" w:cs="Source Sans Pro" w:eastAsia="Source Sans Pro" w:hAnsi="Source Sans Pro"/>
          <w:color w:val="1D2B26"/>
          <w:sz w:val="21"/>
          <w:szCs w:val="21"/>
        </w:rPr>
        <w:t xml:space="preserve">Described only as 'an amplicon sequence variant–based pipeline' with the specific software deferred to prior methods papers (refs. 19–21) not named in the visible main text. (Reference database: NOT REPORTED in the visible main text.)</w:t>
      </w:r>
    </w:p>
    <w:p>
      <w:pPr>
        <w:spacing w:after="140" w:before="0"/>
      </w:pPr>
      <w:r>
        <w:rPr>
          <w:rFonts w:ascii="Source Sans Pro" w:cs="Source Sans Pro" w:eastAsia="Source Sans Pro" w:hAnsi="Source Sans Pro"/>
          <w:b/>
          <w:bCs/>
          <w:color w:val="1D4A3D"/>
          <w:sz w:val="21"/>
          <w:szCs w:val="21"/>
        </w:rPr>
        <w:t xml:space="preserve">Verified against the source: </w:t>
      </w:r>
      <w:r>
        <w:rPr>
          <w:rFonts w:ascii="Source Sans Pro" w:cs="Source Sans Pro" w:eastAsia="Source Sans Pro" w:hAnsi="Source Sans Pro"/>
          <w:color w:val="1D2B26"/>
          <w:sz w:val="21"/>
          <w:szCs w:val="21"/>
        </w:rPr>
        <w:t xml:space="preserve">the body text reads only "grouped sequences using an amplicon sequence variant–based pipeline[19-21]" — DADA2 and SILVA are never named in the prose; they appear only as citation-list entries for references 19 and 20 (the methods papers for those tools, cited but not confirmed as this study's own choices).</w:t>
      </w:r>
    </w:p>
    <w:p>
      <w:pPr>
        <w:spacing w:after="140" w:before="0"/>
      </w:pPr>
      <w:r>
        <w:rPr>
          <w:rFonts w:ascii="Source Sans Pro" w:cs="Source Sans Pro" w:eastAsia="Source Sans Pro" w:hAnsi="Source Sans Pro"/>
          <w:color w:val="4F5E58"/>
          <w:sz w:val="21"/>
          <w:szCs w:val="21"/>
        </w:rPr>
        <w:t xml:space="preserve">Alaa's "not reported" is the accurate reading; Philip's specific tool names appear to be inferred from the reference list rather than stated in text — a genuine extraction error, not a difference in judgment.</w:t>
      </w:r>
    </w:p>
    <w:p>
      <w:pPr>
        <w:spacing w:after="80" w:before="220"/>
      </w:pPr>
      <w:r>
        <w:rPr>
          <w:rFonts w:ascii="Source Sans Pro" w:cs="Source Sans Pro" w:eastAsia="Source Sans Pro" w:hAnsi="Source Sans Pro"/>
          <w:b/>
          <w:bCs/>
          <w:color w:val="1D4A3D"/>
          <w:sz w:val="21"/>
          <w:szCs w:val="21"/>
        </w:rPr>
        <w:t xml:space="preserve">Finding 8 — #1236 (Sugino 2021) — did beta diversity (Bray-Curtis) remain significant after covariate adjustment?</w:t>
      </w:r>
    </w:p>
    <w:p>
      <w:pPr>
        <w:spacing w:after="140" w:before="0"/>
      </w:pPr>
      <w:r>
        <w:rPr>
          <w:rFonts w:ascii="Source Sans Pro" w:cs="Source Sans Pro" w:eastAsia="Source Sans Pro" w:hAnsi="Source Sans Pro"/>
          <w:b/>
          <w:bCs/>
          <w:color w:val="1D2B26"/>
          <w:sz w:val="21"/>
          <w:szCs w:val="21"/>
        </w:rPr>
        <w:t xml:space="preserve">Philip: </w:t>
      </w:r>
      <w:r>
        <w:rPr>
          <w:rFonts w:ascii="Source Sans Pro" w:cs="Source Sans Pro" w:eastAsia="Source Sans Pro" w:hAnsi="Source Sans Pro"/>
          <w:color w:val="1D2B26"/>
          <w:sz w:val="21"/>
          <w:szCs w:val="21"/>
        </w:rPr>
        <w:t xml:space="preserve">remained significant for Sorensen but not Bray-Curtis once other covariates were added in the multivariate model — another instance of beta-diversity-metric-dependent significance (echoing #467's precedent).</w:t>
      </w:r>
    </w:p>
    <w:p>
      <w:pPr>
        <w:spacing w:after="140" w:before="0"/>
      </w:pPr>
      <w:r>
        <w:rPr>
          <w:rFonts w:ascii="Source Sans Pro" w:cs="Source Sans Pro" w:eastAsia="Source Sans Pro" w:hAnsi="Source Sans Pro"/>
          <w:b/>
          <w:bCs/>
          <w:color w:val="1D2B26"/>
          <w:sz w:val="21"/>
          <w:szCs w:val="21"/>
        </w:rPr>
        <w:t xml:space="preserve">Alaa: </w:t>
      </w:r>
      <w:r>
        <w:rPr>
          <w:rFonts w:ascii="Source Sans Pro" w:cs="Source Sans Pro" w:eastAsia="Source Sans Pro" w:hAnsi="Source Sans Pro"/>
          <w:color w:val="1D2B26"/>
          <w:sz w:val="21"/>
          <w:szCs w:val="21"/>
        </w:rPr>
        <w:t xml:space="preserve">human milk exposure the dominant explanatory variable across models (R²≈0.10–0.19), robust to adjustment for BMI, delivery mode, sex, shipping time, age, and cohort.</w:t>
      </w:r>
    </w:p>
    <w:p>
      <w:pPr>
        <w:spacing w:after="140" w:before="0"/>
      </w:pPr>
      <w:r>
        <w:rPr>
          <w:rFonts w:ascii="Source Sans Pro" w:cs="Source Sans Pro" w:eastAsia="Source Sans Pro" w:hAnsi="Source Sans Pro"/>
          <w:b/>
          <w:bCs/>
          <w:color w:val="1D4A3D"/>
          <w:sz w:val="21"/>
          <w:szCs w:val="21"/>
        </w:rPr>
        <w:t xml:space="preserve">Verified against the source: </w:t>
      </w:r>
      <w:r>
        <w:rPr>
          <w:rFonts w:ascii="Source Sans Pro" w:cs="Source Sans Pro" w:eastAsia="Source Sans Pro" w:hAnsi="Source Sans Pro"/>
          <w:color w:val="1D2B26"/>
          <w:sz w:val="21"/>
          <w:szCs w:val="21"/>
        </w:rPr>
        <w:t xml:space="preserve">in the fully adjusted Model 3 (Table 5), the human-milk term is Sorensen R²=0.14, p=.002 (significant) but Bray-Curtis-genus R²=0.10, p=.2 and Bray-Curtis-phylum R²=0.08, p=.42 (both non-significant).</w:t>
      </w:r>
    </w:p>
    <w:p>
      <w:pPr>
        <w:spacing w:after="140" w:before="0"/>
      </w:pPr>
      <w:r>
        <w:rPr>
          <w:rFonts w:ascii="Source Sans Pro" w:cs="Source Sans Pro" w:eastAsia="Source Sans Pro" w:hAnsi="Source Sans Pro"/>
          <w:color w:val="4F5E58"/>
          <w:sz w:val="21"/>
          <w:szCs w:val="21"/>
        </w:rPr>
        <w:t xml:space="preserve">Philip's characterization is correct; Alaa's "robust to adjustment" over-generalizes from the paper's own self-congratulatory Discussion-section framing ("this result is robust to multivariate analysis") without checking Table 5's actual per-metric p-values. This is the one source-verified error found in Alaa's draft (see Section 5, point 4).</w:t>
      </w:r>
    </w:p>
    <w:p>
      <w:pPr>
        <w:spacing w:after="60" w:before="220"/>
      </w:pPr>
      <w:r>
        <w:rPr>
          <w:rFonts w:ascii="Source Sans Pro" w:cs="Source Sans Pro" w:eastAsia="Source Sans Pro" w:hAnsi="Source Sans Pro"/>
          <w:b/>
          <w:bCs/>
          <w:i/>
          <w:iCs/>
          <w:color w:val="4F5E58"/>
          <w:sz w:val="19"/>
          <w:szCs w:val="19"/>
        </w:rPr>
        <w:t xml:space="preserve">Batch 4 (#1301, #1305, #1334, #1499)</w:t>
      </w:r>
    </w:p>
    <w:p>
      <w:pPr>
        <w:spacing w:after="80" w:before="220"/>
      </w:pPr>
      <w:r>
        <w:rPr>
          <w:rFonts w:ascii="Source Sans Pro" w:cs="Source Sans Pro" w:eastAsia="Source Sans Pro" w:hAnsi="Source Sans Pro"/>
          <w:b/>
          <w:bCs/>
          <w:color w:val="1D4A3D"/>
          <w:sz w:val="21"/>
          <w:szCs w:val="21"/>
        </w:rPr>
        <w:t xml:space="preserve">Finding 9 — #1301 (Castanet 2020) — undisclosed study non-independence (Notes, not a scored field but a material omission)</w:t>
      </w:r>
    </w:p>
    <w:p>
      <w:pPr>
        <w:spacing w:after="140" w:before="0"/>
      </w:pPr>
      <w:r>
        <w:rPr>
          <w:rFonts w:ascii="Source Sans Pro" w:cs="Source Sans Pro" w:eastAsia="Source Sans Pro" w:hAnsi="Source Sans Pro"/>
          <w:b/>
          <w:bCs/>
          <w:color w:val="1D2B26"/>
          <w:sz w:val="21"/>
          <w:szCs w:val="21"/>
        </w:rPr>
        <w:t xml:space="preserve">Philip: </w:t>
      </w:r>
      <w:r>
        <w:rPr>
          <w:rFonts w:ascii="Source Sans Pro" w:cs="Source Sans Pro" w:eastAsia="Source Sans Pro" w:hAnsi="Source Sans Pro"/>
          <w:color w:val="1D2B26"/>
          <w:sz w:val="21"/>
          <w:szCs w:val="21"/>
        </w:rPr>
        <w:t xml:space="preserve">Direct study lineage: the FLPP formula tested here (BMOS + lactoferrin + B. lactis) is a near-identical follow-up of the exact same synbiotic formula tested in the pilot study #1815 (Simeoni 2016). The review team should be aware these two studies likely share overlapping authorship, sponsor, and intervention — not fully independent evidence points for any vote-counting or synthesis.</w:t>
      </w:r>
    </w:p>
    <w:p>
      <w:pPr>
        <w:spacing w:after="140" w:before="0"/>
      </w:pPr>
      <w:r>
        <w:rPr>
          <w:rFonts w:ascii="Source Sans Pro" w:cs="Source Sans Pro" w:eastAsia="Source Sans Pro" w:hAnsi="Source Sans Pro"/>
          <w:b/>
          <w:bCs/>
          <w:color w:val="1D2B26"/>
          <w:sz w:val="21"/>
          <w:szCs w:val="21"/>
        </w:rPr>
        <w:t xml:space="preserve">Alaa: </w:t>
      </w:r>
      <w:r>
        <w:rPr>
          <w:rFonts w:ascii="Source Sans Pro" w:cs="Source Sans Pro" w:eastAsia="Source Sans Pro" w:hAnsi="Source Sans Pro"/>
          <w:color w:val="1D2B26"/>
          <w:sz w:val="21"/>
          <w:szCs w:val="21"/>
        </w:rPr>
        <w:t xml:space="preserve">makes no mention of #1815 at all in the #1301 Notes.</w:t>
      </w:r>
    </w:p>
    <w:p>
      <w:pPr>
        <w:spacing w:after="140" w:before="0"/>
      </w:pPr>
      <w:r>
        <w:rPr>
          <w:rFonts w:ascii="Source Sans Pro" w:cs="Source Sans Pro" w:eastAsia="Source Sans Pro" w:hAnsi="Source Sans Pro"/>
          <w:color w:val="4F5E58"/>
          <w:sz w:val="21"/>
          <w:szCs w:val="21"/>
        </w:rPr>
        <w:t xml:space="preserve">Why genuine: this is exactly the kind of cross-study non-independence flag a systematic review's synthesis needs to catch before vote-counting studies as if they were independent replications — Alaa's blind pass missed a connection Philip's did not.</w:t>
      </w:r>
    </w:p>
    <w:p>
      <w:pPr>
        <w:spacing w:after="80" w:before="220"/>
      </w:pPr>
      <w:r>
        <w:rPr>
          <w:rFonts w:ascii="Source Sans Pro" w:cs="Source Sans Pro" w:eastAsia="Source Sans Pro" w:hAnsi="Source Sans Pro"/>
          <w:b/>
          <w:bCs/>
          <w:color w:val="1D4A3D"/>
          <w:sz w:val="21"/>
          <w:szCs w:val="21"/>
        </w:rPr>
        <w:t xml:space="preserve">Finding 10 — #1499 (Akagawa 2019) — Study design classification (governs which RoB tool applies)</w:t>
      </w:r>
    </w:p>
    <w:p>
      <w:pPr>
        <w:spacing w:after="140" w:before="0"/>
      </w:pPr>
      <w:r>
        <w:rPr>
          <w:rFonts w:ascii="Source Sans Pro" w:cs="Source Sans Pro" w:eastAsia="Source Sans Pro" w:hAnsi="Source Sans Pro"/>
          <w:b/>
          <w:bCs/>
          <w:color w:val="1D2B26"/>
          <w:sz w:val="21"/>
          <w:szCs w:val="21"/>
        </w:rPr>
        <w:t xml:space="preserve">Philip: </w:t>
      </w:r>
      <w:r>
        <w:rPr>
          <w:rFonts w:ascii="Source Sans Pro" w:cs="Source Sans Pro" w:eastAsia="Source Sans Pro" w:hAnsi="Source Sans Pro"/>
          <w:color w:val="1D2B26"/>
          <w:sz w:val="21"/>
          <w:szCs w:val="21"/>
        </w:rPr>
        <w:t xml:space="preserve">Prospective cohort with a retrospective 2×2 (delivery mode × feeding type) grouping, sampled longitudinally at two timepoints per infant.</w:t>
      </w:r>
    </w:p>
    <w:p>
      <w:pPr>
        <w:spacing w:after="140" w:before="0"/>
      </w:pPr>
      <w:r>
        <w:rPr>
          <w:rFonts w:ascii="Source Sans Pro" w:cs="Source Sans Pro" w:eastAsia="Source Sans Pro" w:hAnsi="Source Sans Pro"/>
          <w:b/>
          <w:bCs/>
          <w:color w:val="1D2B26"/>
          <w:sz w:val="21"/>
          <w:szCs w:val="21"/>
        </w:rPr>
        <w:t xml:space="preserve">Alaa: </w:t>
      </w:r>
      <w:r>
        <w:rPr>
          <w:rFonts w:ascii="Source Sans Pro" w:cs="Source Sans Pro" w:eastAsia="Source Sans Pro" w:hAnsi="Source Sans Pro"/>
          <w:color w:val="1D2B26"/>
          <w:sz w:val="21"/>
          <w:szCs w:val="21"/>
        </w:rPr>
        <w:t xml:space="preserve">Prospective sample collection with retrospective group classification... Recorded as cross-sectional for the feeding-type comparison specifically (feeding groups did not exist as an analytic category until the 1-month endpoint).</w:t>
      </w:r>
    </w:p>
    <w:p>
      <w:pPr>
        <w:spacing w:after="140" w:before="0"/>
      </w:pPr>
      <w:r>
        <w:rPr>
          <w:rFonts w:ascii="Source Sans Pro" w:cs="Source Sans Pro" w:eastAsia="Source Sans Pro" w:hAnsi="Source Sans Pro"/>
          <w:color w:val="4F5E58"/>
          <w:sz w:val="21"/>
          <w:szCs w:val="21"/>
        </w:rPr>
        <w:t xml:space="preserve">Why genuine: a different final answer on the one field the review's own spec says 'governs RoB tool' — both likely still route to ROBINS-I as observational, but the specific design label affects which ROBINS-I domain language applies, and is exactly the kind of disagreement a human verifier should resolve explicitly.</w:t>
      </w:r>
    </w:p>
    <w:p>
      <w:pPr>
        <w:spacing w:after="60" w:before="220"/>
      </w:pPr>
      <w:r>
        <w:rPr>
          <w:rFonts w:ascii="Source Sans Pro" w:cs="Source Sans Pro" w:eastAsia="Source Sans Pro" w:hAnsi="Source Sans Pro"/>
          <w:b/>
          <w:bCs/>
          <w:i/>
          <w:iCs/>
          <w:color w:val="4F5E58"/>
          <w:sz w:val="19"/>
          <w:szCs w:val="19"/>
        </w:rPr>
        <w:t xml:space="preserve">Batch 5 (#1536, #1547, #1594, #1643) — including the most consequential verified finding in the whole comparison</w:t>
      </w:r>
    </w:p>
    <w:p>
      <w:pPr>
        <w:spacing w:after="80" w:before="220"/>
      </w:pPr>
      <w:r>
        <w:rPr>
          <w:rFonts w:ascii="Source Sans Pro" w:cs="Source Sans Pro" w:eastAsia="Source Sans Pro" w:hAnsi="Source Sans Pro"/>
          <w:b/>
          <w:bCs/>
          <w:color w:val="1D4A3D"/>
          <w:sz w:val="21"/>
          <w:szCs w:val="21"/>
        </w:rPr>
        <w:t xml:space="preserve">Finding 11 — #1547 (Savage 2018) — overstated significance of the race×breastfeeding interaction for Bifidobacterium</w:t>
      </w:r>
    </w:p>
    <w:p>
      <w:pPr>
        <w:spacing w:after="140" w:before="0"/>
      </w:pPr>
      <w:r>
        <w:rPr>
          <w:rFonts w:ascii="Source Sans Pro" w:cs="Source Sans Pro" w:eastAsia="Source Sans Pro" w:hAnsi="Source Sans Pro"/>
          <w:b/>
          <w:bCs/>
          <w:color w:val="1D2B26"/>
          <w:sz w:val="21"/>
          <w:szCs w:val="21"/>
        </w:rPr>
        <w:t xml:space="preserve">Philip (Notes): </w:t>
      </w:r>
      <w:r>
        <w:rPr>
          <w:rFonts w:ascii="Source Sans Pro" w:cs="Source Sans Pro" w:eastAsia="Source Sans Pro" w:hAnsi="Source Sans Pro"/>
          <w:color w:val="1D2B26"/>
          <w:sz w:val="21"/>
          <w:szCs w:val="21"/>
        </w:rPr>
        <w:t xml:space="preserve">this effect was itself ethnicity-dependent: present in Hispanic and White infants but essentially absent in African American infants... The single most important race/ethnicity-by-feeding-type interaction finding in this entire 23-study batch.</w:t>
      </w:r>
    </w:p>
    <w:p>
      <w:pPr>
        <w:spacing w:after="140" w:before="0"/>
      </w:pPr>
      <w:r>
        <w:rPr>
          <w:rFonts w:ascii="Source Sans Pro" w:cs="Source Sans Pro" w:eastAsia="Source Sans Pro" w:hAnsi="Source Sans Pro"/>
          <w:b/>
          <w:bCs/>
          <w:color w:val="1D2B26"/>
          <w:sz w:val="21"/>
          <w:szCs w:val="21"/>
        </w:rPr>
        <w:t xml:space="preserve">Alaa: </w:t>
      </w:r>
      <w:r>
        <w:rPr>
          <w:rFonts w:ascii="Source Sans Pro" w:cs="Source Sans Pro" w:eastAsia="Source Sans Pro" w:hAnsi="Source Sans Pro"/>
          <w:color w:val="1D2B26"/>
          <w:sz w:val="21"/>
          <w:szCs w:val="21"/>
        </w:rPr>
        <w:t xml:space="preserve">Race×breastfeeding interaction trends (not fully significant) for Bifidobacterium (P=.10) and Lactobacillus (P=.09).</w:t>
      </w:r>
    </w:p>
    <w:p>
      <w:pPr>
        <w:spacing w:after="140" w:before="0"/>
      </w:pPr>
      <w:r>
        <w:rPr>
          <w:rFonts w:ascii="Source Sans Pro" w:cs="Source Sans Pro" w:eastAsia="Source Sans Pro" w:hAnsi="Source Sans Pro"/>
          <w:b/>
          <w:bCs/>
          <w:color w:val="1D4A3D"/>
          <w:sz w:val="21"/>
          <w:szCs w:val="21"/>
        </w:rPr>
        <w:t xml:space="preserve">Verified against the source: </w:t>
      </w:r>
      <w:r>
        <w:rPr>
          <w:rFonts w:ascii="Source Sans Pro" w:cs="Source Sans Pro" w:eastAsia="Source Sans Pro" w:hAnsi="Source Sans Pro"/>
          <w:color w:val="1D2B26"/>
          <w:sz w:val="21"/>
          <w:szCs w:val="21"/>
        </w:rPr>
        <w:t xml:space="preserve">"There was a trend toward race/ethnicity × breastfeeding status interactions with regard to Bifidobacterium spp counts (P=.10)..." — against the paper's own stated significance cutoff of P≤.05.</w:t>
      </w:r>
    </w:p>
    <w:p>
      <w:pPr>
        <w:spacing w:after="140" w:before="0"/>
      </w:pPr>
      <w:r>
        <w:rPr>
          <w:rFonts w:ascii="Source Sans Pro" w:cs="Source Sans Pro" w:eastAsia="Source Sans Pro" w:hAnsi="Source Sans Pro"/>
          <w:color w:val="4F5E58"/>
          <w:sz w:val="21"/>
          <w:szCs w:val="21"/>
        </w:rPr>
        <w:t xml:space="preserve">Alaa's "trend, not fully significant" is the accurate reading; Philip's framing presents a non-significant interaction as settled fact, which matters because Philip's own Notes elevate this to the single most important finding of the entire batch.</w:t>
      </w:r>
    </w:p>
    <w:p>
      <w:pPr>
        <w:spacing w:after="80" w:before="220"/>
      </w:pPr>
      <w:r>
        <w:rPr>
          <w:rFonts w:ascii="Source Sans Pro" w:cs="Source Sans Pro" w:eastAsia="Source Sans Pro" w:hAnsi="Source Sans Pro"/>
          <w:b/>
          <w:bCs/>
          <w:color w:val="1D4A3D"/>
          <w:sz w:val="21"/>
          <w:szCs w:val="21"/>
        </w:rPr>
        <w:t xml:space="preserve">Finding 12 — #1547 (Savage 2018) — misattributed adjusted statistics for Bacteroides</w:t>
      </w:r>
    </w:p>
    <w:p>
      <w:pPr>
        <w:spacing w:after="140" w:before="0"/>
      </w:pPr>
      <w:r>
        <w:rPr>
          <w:rFonts w:ascii="Source Sans Pro" w:cs="Source Sans Pro" w:eastAsia="Source Sans Pro" w:hAnsi="Source Sans Pro"/>
          <w:b/>
          <w:bCs/>
          <w:color w:val="1D2B26"/>
          <w:sz w:val="21"/>
          <w:szCs w:val="21"/>
        </w:rPr>
        <w:t xml:space="preserve">Philip: </w:t>
      </w:r>
      <w:r>
        <w:rPr>
          <w:rFonts w:ascii="Source Sans Pro" w:cs="Source Sans Pro" w:eastAsia="Source Sans Pro" w:hAnsi="Source Sans Pro"/>
          <w:color w:val="1D2B26"/>
          <w:sz w:val="21"/>
          <w:szCs w:val="21"/>
        </w:rPr>
        <w:t xml:space="preserve">the difference was not significant after full adjustment (adjusted β=−0.07, P=.86).</w:t>
      </w:r>
    </w:p>
    <w:p>
      <w:pPr>
        <w:spacing w:after="140" w:before="0"/>
      </w:pPr>
      <w:r>
        <w:rPr>
          <w:rFonts w:ascii="Source Sans Pro" w:cs="Source Sans Pro" w:eastAsia="Source Sans Pro" w:hAnsi="Source Sans Pro"/>
          <w:b/>
          <w:bCs/>
          <w:color w:val="1D2B26"/>
          <w:sz w:val="21"/>
          <w:szCs w:val="21"/>
        </w:rPr>
        <w:t xml:space="preserve">Alaa: </w:t>
      </w:r>
      <w:r>
        <w:rPr>
          <w:rFonts w:ascii="Source Sans Pro" w:cs="Source Sans Pro" w:eastAsia="Source Sans Pro" w:hAnsi="Source Sans Pro"/>
          <w:color w:val="1D2B26"/>
          <w:sz w:val="21"/>
          <w:szCs w:val="21"/>
        </w:rPr>
        <w:t xml:space="preserve">not significant after adjustment for demographic variables (P=.98) or demographic+dietary variables (P=.93).</w:t>
      </w:r>
    </w:p>
    <w:p>
      <w:pPr>
        <w:spacing w:after="140" w:before="0"/>
      </w:pPr>
      <w:r>
        <w:rPr>
          <w:rFonts w:ascii="Source Sans Pro" w:cs="Source Sans Pro" w:eastAsia="Source Sans Pro" w:hAnsi="Source Sans Pro"/>
          <w:b/>
          <w:bCs/>
          <w:color w:val="1D4A3D"/>
          <w:sz w:val="21"/>
          <w:szCs w:val="21"/>
        </w:rPr>
        <w:t xml:space="preserve">Verified against the source: </w:t>
      </w:r>
      <w:r>
        <w:rPr>
          <w:rFonts w:ascii="Source Sans Pro" w:cs="Source Sans Pro" w:eastAsia="Source Sans Pro" w:hAnsi="Source Sans Pro"/>
          <w:color w:val="1D2B26"/>
          <w:sz w:val="21"/>
          <w:szCs w:val="21"/>
        </w:rPr>
        <w:t xml:space="preserve">Table IV, "Breastfeeding vs formula feeding" section: unadjusted b=0.60 (0.03, 1.18), P=.04; demographic-adjusted (−0.85, 0.87), P=.98; demographic+dietary-adjusted (−0.83, 0.91), P=.93. Alaa's numbers match this row exactly. "−0.07" and "P=.86" are not fabricated, but they are not this row's values either: they are the demographic+dietary-adjusted Bacteroides figures from Table IV's separate "Solid food introduction" section (−0.07 [−0.83, 0.69], P=.86) — real numbers from the same table, apparently transcribed against the wrong exposure comparison.</w:t>
      </w:r>
    </w:p>
    <w:p>
      <w:pPr>
        <w:spacing w:after="140" w:before="0"/>
      </w:pPr>
      <w:r>
        <w:rPr>
          <w:rFonts w:ascii="Source Sans Pro" w:cs="Source Sans Pro" w:eastAsia="Source Sans Pro" w:hAnsi="Source Sans Pro"/>
          <w:color w:val="4F5E58"/>
          <w:sz w:val="21"/>
          <w:szCs w:val="21"/>
        </w:rPr>
        <w:t xml:space="preserve">A genuine extraction error in Philip's draft: correct numbers, wrong row of the source table.</w:t>
      </w:r>
    </w:p>
    <w:p>
      <w:pPr>
        <w:spacing w:after="80" w:before="220"/>
      </w:pPr>
      <w:r>
        <w:rPr>
          <w:rFonts w:ascii="Source Sans Pro" w:cs="Source Sans Pro" w:eastAsia="Source Sans Pro" w:hAnsi="Source Sans Pro"/>
          <w:b/>
          <w:bCs/>
          <w:color w:val="1D4A3D"/>
          <w:sz w:val="21"/>
          <w:szCs w:val="21"/>
        </w:rPr>
        <w:t xml:space="preserve">Finding 13 — #1594 (Claassen-Weitz 2018) — which Bifidobacterium finding is HIV-confounded (the study's own headline result)</w:t>
      </w:r>
    </w:p>
    <w:p>
      <w:pPr>
        <w:spacing w:after="140" w:before="0"/>
      </w:pPr>
      <w:r>
        <w:rPr>
          <w:rFonts w:ascii="Source Sans Pro" w:cs="Source Sans Pro" w:eastAsia="Source Sans Pro" w:hAnsi="Source Sans Pro"/>
          <w:b/>
          <w:bCs/>
          <w:color w:val="1D2B26"/>
          <w:sz w:val="21"/>
          <w:szCs w:val="21"/>
        </w:rPr>
        <w:t xml:space="preserve">Philip: </w:t>
      </w:r>
      <w:r>
        <w:rPr>
          <w:rFonts w:ascii="Source Sans Pro" w:cs="Source Sans Pro" w:eastAsia="Source Sans Pro" w:hAnsi="Source Sans Pro"/>
          <w:color w:val="1D2B26"/>
          <w:sz w:val="21"/>
          <w:szCs w:val="21"/>
        </w:rPr>
        <w:t xml:space="preserve">At the meconium/discharge level, feeding type showed a validated association — higher in breastfed, genuinely feeding-attributable. But at 4–12 weeks, the naive finding was determined to be driven by maternal HIV status, not feeding type.</w:t>
      </w:r>
    </w:p>
    <w:p>
      <w:pPr>
        <w:spacing w:after="140" w:before="0"/>
      </w:pPr>
      <w:r>
        <w:rPr>
          <w:rFonts w:ascii="Source Sans Pro" w:cs="Source Sans Pro" w:eastAsia="Source Sans Pro" w:hAnsi="Source Sans Pro"/>
          <w:b/>
          <w:bCs/>
          <w:color w:val="1D2B26"/>
          <w:sz w:val="21"/>
          <w:szCs w:val="21"/>
        </w:rPr>
        <w:t xml:space="preserve">Alaa: </w:t>
      </w:r>
      <w:r>
        <w:rPr>
          <w:rFonts w:ascii="Source Sans Pro" w:cs="Source Sans Pro" w:eastAsia="Source Sans Pro" w:hAnsi="Source Sans Pro"/>
          <w:color w:val="1D2B26"/>
          <w:sz w:val="21"/>
          <w:szCs w:val="21"/>
        </w:rPr>
        <w:t xml:space="preserve">Initial unadjusted analysis found higher proportions of beneficial Bifidobacterium (P=.010 at 4–12 weeks, P=.045 at 20–28 weeks)... the authors' own refitted-GLM validation explicitly concluded: 'maternal HIV status was the primary driver of this observation'... Recorded as not estimable as a true feeding effect, applied to both timepoints.</w:t>
      </w:r>
    </w:p>
    <w:p>
      <w:pPr>
        <w:spacing w:after="140" w:before="0"/>
      </w:pPr>
      <w:r>
        <w:rPr>
          <w:rFonts w:ascii="Source Sans Pro" w:cs="Source Sans Pro" w:eastAsia="Source Sans Pro" w:hAnsi="Source Sans Pro"/>
          <w:b/>
          <w:bCs/>
          <w:color w:val="1D4A3D"/>
          <w:sz w:val="21"/>
          <w:szCs w:val="21"/>
        </w:rPr>
        <w:t xml:space="preserve">Verified against the source: </w:t>
      </w:r>
      <w:r>
        <w:rPr>
          <w:rFonts w:ascii="Source Sans Pro" w:cs="Source Sans Pro" w:eastAsia="Source Sans Pro" w:hAnsi="Source Sans Pro"/>
          <w:color w:val="1D2B26"/>
          <w:sz w:val="21"/>
          <w:szCs w:val="21"/>
        </w:rPr>
        <w:t xml:space="preserve">the paper's own abstract states plainly, "HIV-exposed infants had lower proportions of Bifidobacterium (p=0.010) at 4–12 weeks" — tying p=.010 to the HIV/4–12-week finding, not to a separate, validated, feeding-attributable meconium-level result. The body text's confounding narrative does not describe a second, distinct, feeding-attributable meconium finding anywhere in the visible text.</w:t>
      </w:r>
    </w:p>
    <w:p>
      <w:pPr>
        <w:spacing w:after="140" w:before="0"/>
      </w:pPr>
      <w:r>
        <w:rPr>
          <w:rFonts w:ascii="Source Sans Pro" w:cs="Source Sans Pro" w:eastAsia="Source Sans Pro" w:hAnsi="Source Sans Pro"/>
          <w:color w:val="4F5E58"/>
          <w:sz w:val="21"/>
          <w:szCs w:val="21"/>
        </w:rPr>
        <w:t xml:space="preserve">Philip's bifurcation into a "validated meconium feeding effect" plus a separately-confounded "4-week finding" does not appear to be supported by the source; Alaa's uniform "HIV-confounded, not estimable" treatment is the better-supported reading. This is the most consequential verification finding in this entire comparison, since both drafts independently call this result the single most important finding of the study.</w:t>
      </w:r>
    </w:p>
    <w:p>
      <w:r>
        <w:br w:type="page"/>
      </w:r>
    </w:p>
    <w:p>
      <w:pPr>
        <w:pStyle w:val="Heading1"/>
        <w:spacing w:after="140" w:before="320"/>
      </w:pPr>
      <w:r>
        <w:rPr>
          <w:rFonts w:ascii="Georgia" w:cs="Georgia" w:eastAsia="Georgia" w:hAnsi="Georgia"/>
          <w:b/>
          <w:bCs/>
          <w:color w:val="1D4A3D"/>
        </w:rPr>
        <w:t xml:space="preserve">5. Patterns across fields</w:t>
      </w:r>
    </w:p>
    <w:p>
      <w:pPr>
        <w:spacing w:after="80" w:before="160"/>
      </w:pPr>
      <w:r>
        <w:rPr>
          <w:rFonts w:ascii="Source Sans Pro" w:cs="Source Sans Pro" w:eastAsia="Source Sans Pro" w:hAnsi="Source Sans Pro"/>
          <w:b/>
          <w:bCs/>
          <w:color w:val="1D4A3D"/>
          <w:sz w:val="21"/>
          <w:szCs w:val="21"/>
        </w:rPr>
        <w:t xml:space="preserve">1. </w:t>
      </w:r>
      <w:r>
        <w:rPr>
          <w:rFonts w:ascii="Source Sans Pro" w:cs="Source Sans Pro" w:eastAsia="Source Sans Pro" w:hAnsi="Source Sans Pro"/>
          <w:b/>
          <w:bCs/>
          <w:color w:val="1D2B26"/>
          <w:sz w:val="21"/>
          <w:szCs w:val="21"/>
        </w:rPr>
        <w:t xml:space="preserve">Notes is the clear outlier field, and this is expected, not alarming.</w:t>
      </w:r>
    </w:p>
    <w:p>
      <w:pPr>
        <w:spacing w:after="140" w:before="0"/>
      </w:pPr>
      <w:r>
        <w:rPr>
          <w:rFonts w:ascii="Source Sans Pro" w:cs="Source Sans Pro" w:eastAsia="Source Sans Pro" w:hAnsi="Source Sans Pro"/>
          <w:color w:val="4F5E58"/>
          <w:sz w:val="21"/>
          <w:szCs w:val="21"/>
        </w:rPr>
        <w:t xml:space="preserve">At 34.8% full agreement, Notes is by far the lowest-scoring field — but this reflects the field's open-ended nature (each reviewer chooses what to highlight from a large space of valid observations) rather than a genuine quality problem. Where both reviewers happened to converge on the same specific observation (the VDAART Clostridium contradiction, the #814/#1236 mirror-image exposure-contamination problem, several "corpus anchor" citations), the convergence was strong and often nearly word-for-word — suggesting the two extractors are applying similar judgment, just sampling different valid points from a larger pool on any given study. This field should not be scored or weighted the same way as a fixed-answer field in any formal kappa-style calculation.</w:t>
      </w:r>
    </w:p>
    <w:p>
      <w:pPr>
        <w:spacing w:after="80" w:before="160"/>
      </w:pPr>
      <w:r>
        <w:rPr>
          <w:rFonts w:ascii="Source Sans Pro" w:cs="Source Sans Pro" w:eastAsia="Source Sans Pro" w:hAnsi="Source Sans Pro"/>
          <w:b/>
          <w:bCs/>
          <w:color w:val="1D4A3D"/>
          <w:sz w:val="21"/>
          <w:szCs w:val="21"/>
        </w:rPr>
        <w:t xml:space="preserve">2. </w:t>
      </w:r>
      <w:r>
        <w:rPr>
          <w:rFonts w:ascii="Source Sans Pro" w:cs="Source Sans Pro" w:eastAsia="Source Sans Pro" w:hAnsi="Source Sans Pro"/>
          <w:b/>
          <w:bCs/>
          <w:color w:val="1D2B26"/>
          <w:sz w:val="21"/>
          <w:szCs w:val="21"/>
        </w:rPr>
        <w:t xml:space="preserve">Bifidobacterium (E3) is the single most fragile composition field (73.9% full agreement, with 3 of 23 studies scored as outright disagreement and 3 more as partial) — several times the non-agreement rate of every other named taxon (all ≥91%).</w:t>
      </w:r>
    </w:p>
    <w:p>
      <w:pPr>
        <w:spacing w:after="140" w:before="0"/>
      </w:pPr>
      <w:r>
        <w:rPr>
          <w:rFonts w:ascii="Source Sans Pro" w:cs="Source Sans Pro" w:eastAsia="Source Sans Pro" w:hAnsi="Source Sans Pro"/>
          <w:color w:val="4F5E58"/>
          <w:sz w:val="21"/>
          <w:szCs w:val="21"/>
        </w:rPr>
        <w:t xml:space="preserve">This is not because the genus is inherently more ambiguous in the source papers than, say, Bacteroides or Enterobacteriaceae — it is because Bifidobacterium is this review's most-discussed taxon, so papers report it with the most nuance (species/subspecies splits, arm-by-arm and timepoint-by-timepoint breakdowns, discussion-vs-results tension), giving two careful readers the most surface area to resolve differently into one four-way-scale verdict. The three outright disagreements (#467, #582, #1594) each trace to a different root cause: #467 and #582 are genuine judgment calls about how to collapse ambiguous multi-arm/multi-timepoint data into the review's fixed scale; #1594's is source-verifiable as a genuine extraction error on Philip's side, misattributing which timepoint's finding was HIV-confounded (Finding 13, the single most consequential verification finding in this whole exercise). Recommendation: Bifidobacterium should be a priority field for a third-reviewer adjudication pass across the full 111-study corpus, not just this calibration sample, given both its unusually high non-agreement rate and its centrality to this review's primary research question.</w:t>
      </w:r>
    </w:p>
    <w:p>
      <w:pPr>
        <w:spacing w:after="80" w:before="160"/>
      </w:pPr>
      <w:r>
        <w:rPr>
          <w:rFonts w:ascii="Source Sans Pro" w:cs="Source Sans Pro" w:eastAsia="Source Sans Pro" w:hAnsi="Source Sans Pro"/>
          <w:b/>
          <w:bCs/>
          <w:color w:val="1D4A3D"/>
          <w:sz w:val="21"/>
          <w:szCs w:val="21"/>
        </w:rPr>
        <w:t xml:space="preserve">3. </w:t>
      </w:r>
      <w:r>
        <w:rPr>
          <w:rFonts w:ascii="Source Sans Pro" w:cs="Source Sans Pro" w:eastAsia="Source Sans Pro" w:hAnsi="Source Sans Pro"/>
          <w:b/>
          <w:bCs/>
          <w:color w:val="1D2B26"/>
          <w:sz w:val="21"/>
          <w:szCs w:val="21"/>
        </w:rPr>
        <w:t xml:space="preserve">The covariate-handling fields (G2/G3) and the C2 "Classification used" field show a consistent, specific pattern: Alaa's entries more often surface an additional, substantive methodological gap or nuance that Philip's parallel entry does not carry, rather than contradicting it.</w:t>
      </w:r>
    </w:p>
    <w:p>
      <w:pPr>
        <w:spacing w:after="140" w:before="0"/>
      </w:pPr>
      <w:r>
        <w:rPr>
          <w:rFonts w:ascii="Source Sans Pro" w:cs="Source Sans Pro" w:eastAsia="Source Sans Pro" w:hAnsi="Source Sans Pro"/>
          <w:color w:val="4F5E58"/>
          <w:sz w:val="21"/>
          <w:szCs w:val="21"/>
        </w:rPr>
        <w:t xml:space="preserve">Recurring examples: unaddressed multi-country/geography gaps in two Nestlé hybrid-design trials (#1301, #1334); an unaddressed intrapartum-antibiotic confound in #1499; an unaddressed antibiotics gap in #1594; a CF-category comparability flag in #1305; and a ≥80%-mislabeled-as-"exclusive" sub-cohort in #833. This is not evidence Alaa's pass is "better" in some global sense — both passes made their own unique catches (Philip caught the #1301/#1815 formula-lineage non-independence in both directions, something Alaa's pass never surfaces, and Philip's running cross-study tallies, while occasionally miscounted, provide a scaffolding Alaa's draft doesn't attempt). But it does mean the two passes are not simply noisy versions of the same judgment — they have different sensitivities, and a verifier should not assume either one's completeness subsumes the other's.</w:t>
      </w:r>
    </w:p>
    <w:p>
      <w:pPr>
        <w:spacing w:after="80" w:before="160"/>
      </w:pPr>
      <w:r>
        <w:rPr>
          <w:rFonts w:ascii="Source Sans Pro" w:cs="Source Sans Pro" w:eastAsia="Source Sans Pro" w:hAnsi="Source Sans Pro"/>
          <w:b/>
          <w:bCs/>
          <w:color w:val="1D4A3D"/>
          <w:sz w:val="21"/>
          <w:szCs w:val="21"/>
        </w:rPr>
        <w:t xml:space="preserve">4. </w:t>
      </w:r>
      <w:r>
        <w:rPr>
          <w:rFonts w:ascii="Source Sans Pro" w:cs="Source Sans Pro" w:eastAsia="Source Sans Pro" w:hAnsi="Source Sans Pro"/>
          <w:b/>
          <w:bCs/>
          <w:color w:val="1D2B26"/>
          <w:sz w:val="21"/>
          <w:szCs w:val="21"/>
        </w:rPr>
        <w:t xml:space="preserve">A real but not absolute asymmetry: of five source-verified factual errors found in this exercise, four were in Philip's draft and one was in Alaa's.</w:t>
      </w:r>
    </w:p>
    <w:p>
      <w:pPr>
        <w:spacing w:after="140" w:before="0"/>
      </w:pPr>
      <w:r>
        <w:rPr>
          <w:rFonts w:ascii="Source Sans Pro" w:cs="Source Sans Pro" w:eastAsia="Source Sans Pro" w:hAnsi="Source Sans Pro"/>
          <w:color w:val="4F5E58"/>
          <w:sz w:val="21"/>
          <w:szCs w:val="21"/>
        </w:rPr>
        <w:t xml:space="preserve">Spot-checking five concrete, checkable claims against the underlying paper text (not relying on either draft's own characterization) found, on Philip's side: #992's bioinformatic-pipeline and reference-database values ("DADA2," "SILVA") were inferred from a reference-list citation rather than stated in the body text Alaa correctly flagged as unnamed; #1547's race×feeding interaction was reported by Philip as settled fact when the paper's own text calls it a non-significant trend (P=.10); #1547's Bacteroides adjusted statistics (β=−0.07, P=.86) do not appear anywhere in the source's breastfeeding-vs-formula row of Table IV — those exact figures belong to a different row of the same table (the solid-food-introduction comparison), apparently copied into the wrong exposure; and #1594's central confounding narrative was more complex in Philip's retelling than the paper's own abstract supports. Running the other direction, on Alaa's side: #1236's claim that a beta-diversity result was "robust to adjustment" did not hold up against the paper's own Table 5, which Philip correctly read as metric-dependent. This is not a claim that either draft is more reliable overall — the large majority of both drafts' several hundred other factual claims were not independently checked, and most of the ones that were held up on both sides — but it is a specific, actionable finding for a third-reviewer verification pass: both drafts contain at least one confidently-stated numeric or qualitative claim that does not survive a source check, so neither draft's more specific or more confident-sounding reading should be preferred by default without going back to the primary source.</w:t>
      </w:r>
    </w:p>
    <w:p>
      <w:pPr>
        <w:spacing w:after="80" w:before="160"/>
      </w:pPr>
      <w:r>
        <w:rPr>
          <w:rFonts w:ascii="Source Sans Pro" w:cs="Source Sans Pro" w:eastAsia="Source Sans Pro" w:hAnsi="Source Sans Pro"/>
          <w:b/>
          <w:bCs/>
          <w:color w:val="1D4A3D"/>
          <w:sz w:val="21"/>
          <w:szCs w:val="21"/>
        </w:rPr>
        <w:t xml:space="preserve">5. </w:t>
      </w:r>
      <w:r>
        <w:rPr>
          <w:rFonts w:ascii="Source Sans Pro" w:cs="Source Sans Pro" w:eastAsia="Source Sans Pro" w:hAnsi="Source Sans Pro"/>
          <w:b/>
          <w:bCs/>
          <w:color w:val="1D2B26"/>
          <w:sz w:val="21"/>
          <w:szCs w:val="21"/>
        </w:rPr>
        <w:t xml:space="preserve">The hybrid-design classification itself (A3) is near-perfect agreement (22/23 full agreement) — both reviewers applied the review's 15-Oct standing rule consistently across all nine studies it touches, including the structurally distinct #1536 case (feeding type never a trial design axis at all).</w:t>
      </w:r>
    </w:p>
    <w:p>
      <w:pPr>
        <w:spacing w:after="140" w:before="0"/>
      </w:pPr>
      <w:r>
        <w:rPr>
          <w:rFonts w:ascii="Source Sans Pro" w:cs="Source Sans Pro" w:eastAsia="Source Sans Pro" w:hAnsi="Source Sans Pro"/>
          <w:color w:val="4F5E58"/>
          <w:sz w:val="21"/>
          <w:szCs w:val="21"/>
        </w:rPr>
        <w:t xml:space="preserve">The sole A3 disagreement (#1499) is a genuine, substantive one (Finding 10) precisely because #1499 is not a named hybrid-design study at all, so neither reviewer had a standing rule to fall back on and each made an independent judgment call.</w:t>
      </w:r>
    </w:p>
    <w:p>
      <w:r>
        <w:br w:type="page"/>
      </w:r>
    </w:p>
    <w:p>
      <w:pPr>
        <w:pStyle w:val="Heading1"/>
        <w:spacing w:after="140" w:before="320"/>
      </w:pPr>
      <w:r>
        <w:rPr>
          <w:rFonts w:ascii="Georgia" w:cs="Georgia" w:eastAsia="Georgia" w:hAnsi="Georgia"/>
          <w:b/>
          <w:bCs/>
          <w:color w:val="1D4A3D"/>
        </w:rPr>
        <w:t xml:space="preserve">6. VDAART cross-check (#1547 / #1734 Clostridium contradiction)</w:t>
      </w:r>
    </w:p>
    <w:p>
      <w:pPr>
        <w:spacing w:after="140" w:before="0"/>
      </w:pPr>
      <w:r>
        <w:rPr>
          <w:rFonts w:ascii="Source Sans Pro" w:cs="Source Sans Pro" w:eastAsia="Source Sans Pro" w:hAnsi="Source Sans Pro"/>
          <w:color w:val="1D2B26"/>
          <w:sz w:val="21"/>
          <w:szCs w:val="21"/>
        </w:rPr>
        <w:t xml:space="preserve">The cross-check passes: both drafts independently and correctly catch the same cross-study contradiction, and both correctly agree with each other about what each paper found.</w:t>
      </w:r>
    </w:p>
    <w:p>
      <w:pPr>
        <w:spacing w:after="140" w:before="0"/>
      </w:pPr>
      <w:r>
        <w:rPr>
          <w:rFonts w:ascii="Source Sans Pro" w:cs="Source Sans Pro" w:eastAsia="Source Sans Pro" w:hAnsi="Source Sans Pro"/>
          <w:color w:val="1D2B26"/>
          <w:sz w:val="21"/>
          <w:szCs w:val="21"/>
        </w:rPr>
        <w:t xml:space="preserve">#1547 (Savage 2018) and #1734 (Sordillo 2017) are sister ancillary-microbiome studies drawn from the same VDAART trial, the same NIH grant (identical grant numbers), the same three U.S. sites, overlapping authorship, and near-identical sample sizes (323 vs. 333). Within each paper's own entry, both drafts report the same substantive finding for that paper:</w:t>
      </w:r>
    </w:p>
    <w:p>
      <w:pPr>
        <w:spacing w:after="140" w:before="0"/>
      </w:pPr>
      <w:r>
        <w:rPr>
          <w:rFonts w:ascii="Source Sans Pro" w:cs="Source Sans Pro" w:eastAsia="Source Sans Pro" w:hAnsi="Source Sans Pro"/>
          <w:color w:val="4F5E58"/>
          <w:sz w:val="21"/>
          <w:szCs w:val="21"/>
        </w:rPr>
        <w:t xml:space="preserve">#1547: both drafts report </w:t>
      </w:r>
      <w:r>
        <w:rPr>
          <w:rFonts w:ascii="Source Sans Pro" w:cs="Source Sans Pro" w:eastAsia="Source Sans Pro" w:hAnsi="Source Sans Pro"/>
          <w:i/>
          <w:iCs/>
          <w:color w:val="4F5E58"/>
          <w:sz w:val="21"/>
          <w:szCs w:val="21"/>
        </w:rPr>
        <w:t xml:space="preserve">Clostridium</w:t>
      </w:r>
      <w:r>
        <w:rPr>
          <w:rFonts w:ascii="Source Sans Pro" w:cs="Source Sans Pro" w:eastAsia="Source Sans Pro" w:hAnsi="Source Sans Pro"/>
          <w:color w:val="4F5E58"/>
          <w:sz w:val="21"/>
          <w:szCs w:val="21"/>
        </w:rPr>
        <w:t xml:space="preserve"> significantly </w:t>
      </w:r>
      <w:r>
        <w:rPr>
          <w:rFonts w:ascii="Source Sans Pro" w:cs="Source Sans Pro" w:eastAsia="Source Sans Pro" w:hAnsi="Source Sans Pro"/>
          <w:b/>
          <w:bCs/>
          <w:color w:val="4F5E58"/>
          <w:sz w:val="21"/>
          <w:szCs w:val="21"/>
        </w:rPr>
        <w:t xml:space="preserve">higher in breastfed</w:t>
      </w:r>
      <w:r>
        <w:rPr>
          <w:rFonts w:ascii="Source Sans Pro" w:cs="Source Sans Pro" w:eastAsia="Source Sans Pro" w:hAnsi="Source Sans Pro"/>
          <w:color w:val="4F5E58"/>
          <w:sz w:val="21"/>
          <w:szCs w:val="21"/>
        </w:rPr>
        <w:t xml:space="preserve"> infants, and both quote the paper's own Introduction noting this contradicts the literature direction it cites.</w:t>
      </w:r>
    </w:p>
    <w:p>
      <w:pPr>
        <w:spacing w:after="140" w:before="0"/>
      </w:pPr>
      <w:r>
        <w:rPr>
          <w:rFonts w:ascii="Source Sans Pro" w:cs="Source Sans Pro" w:eastAsia="Source Sans Pro" w:hAnsi="Source Sans Pro"/>
          <w:color w:val="4F5E58"/>
          <w:sz w:val="21"/>
          <w:szCs w:val="21"/>
        </w:rPr>
        <w:t xml:space="preserve">#1734: both drafts report </w:t>
      </w:r>
      <w:r>
        <w:rPr>
          <w:rFonts w:ascii="Source Sans Pro" w:cs="Source Sans Pro" w:eastAsia="Source Sans Pro" w:hAnsi="Source Sans Pro"/>
          <w:i/>
          <w:iCs/>
          <w:color w:val="4F5E58"/>
          <w:sz w:val="21"/>
          <w:szCs w:val="21"/>
        </w:rPr>
        <w:t xml:space="preserve">Clostridiales</w:t>
      </w:r>
      <w:r>
        <w:rPr>
          <w:rFonts w:ascii="Source Sans Pro" w:cs="Source Sans Pro" w:eastAsia="Source Sans Pro" w:hAnsi="Source Sans Pro"/>
          <w:color w:val="4F5E58"/>
          <w:sz w:val="21"/>
          <w:szCs w:val="21"/>
        </w:rPr>
        <w:t xml:space="preserve">/</w:t>
      </w:r>
      <w:r>
        <w:rPr>
          <w:rFonts w:ascii="Source Sans Pro" w:cs="Source Sans Pro" w:eastAsia="Source Sans Pro" w:hAnsi="Source Sans Pro"/>
          <w:i/>
          <w:iCs/>
          <w:color w:val="4F5E58"/>
          <w:sz w:val="21"/>
          <w:szCs w:val="21"/>
        </w:rPr>
        <w:t xml:space="preserve">Clostridium</w:t>
      </w:r>
      <w:r>
        <w:rPr>
          <w:rFonts w:ascii="Source Sans Pro" w:cs="Source Sans Pro" w:eastAsia="Source Sans Pro" w:hAnsi="Source Sans Pro"/>
          <w:color w:val="4F5E58"/>
          <w:sz w:val="21"/>
          <w:szCs w:val="21"/>
        </w:rPr>
        <w:t xml:space="preserve">-related taxa </w:t>
      </w:r>
      <w:r>
        <w:rPr>
          <w:rFonts w:ascii="Source Sans Pro" w:cs="Source Sans Pro" w:eastAsia="Source Sans Pro" w:hAnsi="Source Sans Pro"/>
          <w:b/>
          <w:bCs/>
          <w:color w:val="4F5E58"/>
          <w:sz w:val="21"/>
          <w:szCs w:val="21"/>
        </w:rPr>
        <w:t xml:space="preserve">lower in breastfed</w:t>
      </w:r>
      <w:r>
        <w:rPr>
          <w:rFonts w:ascii="Source Sans Pro" w:cs="Source Sans Pro" w:eastAsia="Source Sans Pro" w:hAnsi="Source Sans Pro"/>
          <w:color w:val="4F5E58"/>
          <w:sz w:val="21"/>
          <w:szCs w:val="21"/>
        </w:rPr>
        <w:t xml:space="preserve"> (the conventional-expectation direction), validated via the paper's own multivariate (MaAsLin) modeling, and both quote the paper's own Conclusion ("formula feeding was linked to higher levels of Clostridia in the infant gut").</w:t>
      </w:r>
    </w:p>
    <w:p>
      <w:pPr>
        <w:spacing w:after="140" w:before="0"/>
      </w:pPr>
      <w:r>
        <w:rPr>
          <w:rFonts w:ascii="Source Sans Pro" w:cs="Source Sans Pro" w:eastAsia="Source Sans Pro" w:hAnsi="Source Sans Pro"/>
          <w:color w:val="1D2B26"/>
          <w:sz w:val="21"/>
          <w:szCs w:val="21"/>
        </w:rPr>
        <w:t xml:space="preserve">Both drafts then independently flag the resulting contradiction between the two papers as one of the single most important findings in the entire 23-study sample — Philip's #1734 Notes call it "the single most informative internal contradiction in this entire 23-study sample," and Alaa's #1734 Notes independently call it "the single most consequential cross-study finding in this entire calibration sample," restating the same point a second time in her own closing cross-study-observations section. Philip's own closing section makes the same point a second time as well, additionally cross-referencing #1860 (Bäckhed 2015) as a third, independent data point siding with #1734's direction — a synthesis move Alaa's draft does not make.</w:t>
      </w:r>
    </w:p>
    <w:p>
      <w:pPr>
        <w:spacing w:after="140" w:before="0"/>
      </w:pPr>
      <w:r>
        <w:rPr>
          <w:rFonts w:ascii="Source Sans Pro" w:cs="Source Sans Pro" w:eastAsia="Source Sans Pro" w:hAnsi="Source Sans Pro"/>
          <w:b/>
          <w:bCs/>
          <w:color w:val="1D2B26"/>
          <w:sz w:val="21"/>
          <w:szCs w:val="21"/>
        </w:rPr>
        <w:t xml:space="preserve">Score</w:t>
      </w:r>
      <w:r>
        <w:rPr>
          <w:rFonts w:ascii="Source Sans Pro" w:cs="Source Sans Pro" w:eastAsia="Source Sans Pro" w:hAnsi="Source Sans Pro"/>
          <w:color w:val="1D2B26"/>
          <w:sz w:val="21"/>
          <w:szCs w:val="21"/>
        </w:rPr>
        <w:t xml:space="preserve">: this is recorded as E5 = Full agreement for #1734 — not because the two studies agree with each other (they don't; that is the whole point of the finding), but because the two extractors agree with each other about what each study independently found and about the significance of the resulting contradiction. The methodology correctly distinguishes "the extractors disagree about what a paper says" (which this is not) from "the paper itself disagrees with another paper, and both extractors correctly caught it" (which this is).</w:t>
      </w:r>
    </w:p>
    <w:p>
      <w:pPr>
        <w:spacing w:after="140" w:before="0"/>
      </w:pPr>
      <w:r>
        <w:rPr>
          <w:rFonts w:ascii="Source Sans Pro" w:cs="Source Sans Pro" w:eastAsia="Source Sans Pro" w:hAnsi="Source Sans Pro"/>
          <w:color w:val="1D2B26"/>
          <w:sz w:val="21"/>
          <w:szCs w:val="21"/>
        </w:rPr>
        <w:t xml:space="preserve">One genuine, minor difference worth noting: Alaa's #1547 entry (but not Philip's) explicitly flags the VDAART cohort-overlap as a </w:t>
      </w:r>
      <w:r>
        <w:rPr>
          <w:rFonts w:ascii="Source Sans Pro" w:cs="Source Sans Pro" w:eastAsia="Source Sans Pro" w:hAnsi="Source Sans Pro"/>
          <w:i/>
          <w:iCs/>
          <w:color w:val="1D2B26"/>
          <w:sz w:val="21"/>
          <w:szCs w:val="21"/>
        </w:rPr>
        <w:t xml:space="preserve">protocol.md</w:t>
      </w:r>
      <w:r>
        <w:rPr>
          <w:rFonts w:ascii="Source Sans Pro" w:cs="Source Sans Pro" w:eastAsia="Source Sans Pro" w:hAnsi="Source Sans Pro"/>
          <w:color w:val="1D2B26"/>
          <w:sz w:val="21"/>
          <w:szCs w:val="21"/>
        </w:rPr>
        <w:t xml:space="preserve"> "duplicate reports of the same cohort" concern the review team should resolve, and raises an unresolved question about whether #1547/#1734 should be classified as hybrid-design studies at all — a substantive methodological question Philip's parallel entries do not raise, though Philip's entries do independently flag the sample-overlap/non-independence point in different words.</w:t>
      </w:r>
    </w:p>
    <w:p>
      <w:r>
        <w:br w:type="page"/>
      </w:r>
    </w:p>
    <w:p>
      <w:pPr>
        <w:pStyle w:val="Heading1"/>
        <w:spacing w:after="140" w:before="320"/>
      </w:pPr>
      <w:r>
        <w:rPr>
          <w:rFonts w:ascii="Georgia" w:cs="Georgia" w:eastAsia="Georgia" w:hAnsi="Georgia"/>
          <w:b/>
          <w:bCs/>
          <w:color w:val="1D4A3D"/>
        </w:rPr>
        <w:t xml:space="preserve">Appendix — Per-study agreement grid (Section 3 source data)</w:t>
      </w:r>
    </w:p>
    <w:p>
      <w:pPr>
        <w:spacing w:after="140" w:before="0"/>
      </w:pPr>
      <w:r>
        <w:rPr>
          <w:rFonts w:ascii="Source Sans Pro" w:cs="Source Sans Pro" w:eastAsia="Source Sans Pro" w:hAnsi="Source Sans Pro"/>
          <w:color w:val="4F5E58"/>
          <w:sz w:val="21"/>
          <w:szCs w:val="21"/>
        </w:rPr>
        <w:t xml:space="preserve">Full per-study prose notes (what each disagreement or completeness gap actually was) are retained in the companion file extraction/calibration_agreement_comparison.md and are not repeated here. This appendix gives, for each of the 23 calibration-sample studies, the field-by-field Full/Partial/Disagreement/Not-comparable score across all 34 fields (A1–A4, B1–B4, C1–C4, D1–D5, E1–E8, F1, G1–G3, H1–H4, I1).</w:t>
      </w:r>
    </w:p>
    <w:p>
      <w:pPr>
        <w:spacing w:after="70" w:before="200"/>
      </w:pPr>
      <w:r>
        <w:rPr>
          <w:rFonts w:ascii="Source Sans Pro" w:cs="Source Sans Pro" w:eastAsia="Source Sans Pro" w:hAnsi="Source Sans Pro"/>
          <w:b/>
          <w:bCs/>
          <w:color w:val="1D2B26"/>
          <w:sz w:val="19"/>
          <w:szCs w:val="19"/>
        </w:rPr>
        <w:t xml:space="preserve">#143 — Myers/van Beijsterveldt 2026 (Netherlands/UK)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100"/>
      </w:pPr>
    </w:p>
    <w:p>
      <w:pPr>
        <w:spacing w:after="70" w:before="200"/>
      </w:pPr>
      <w:r>
        <w:rPr>
          <w:rFonts w:ascii="Source Sans Pro" w:cs="Source Sans Pro" w:eastAsia="Source Sans Pro" w:hAnsi="Source Sans Pro"/>
          <w:b/>
          <w:bCs/>
          <w:color w:val="1D2B26"/>
          <w:sz w:val="19"/>
          <w:szCs w:val="19"/>
        </w:rPr>
        <w:t xml:space="preserve">#364 — Patangia 2025 (Ireland)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6E4DE" w:val="clear"/>
            <w:tcMar>
              <w:top w:type="dxa" w:w="60"/>
              <w:left w:type="dxa" w:w="40"/>
              <w:bottom w:type="dxa" w:w="60"/>
              <w:right w:type="dxa" w:w="40"/>
            </w:tcMar>
            <w:vAlign w:val="center"/>
          </w:tcPr>
          <w:p>
            <w:pPr>
              <w:jc w:val="center"/>
            </w:pPr>
            <w:r>
              <w:rPr>
                <w:rFonts w:ascii="Consolas" w:cs="Consolas" w:eastAsia="Consolas" w:hAnsi="Consolas"/>
                <w:b/>
                <w:bCs/>
                <w:color w:val="A8452F"/>
                <w:sz w:val="15"/>
                <w:szCs w:val="15"/>
              </w:rPr>
              <w:t xml:space="preserve">DA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100"/>
      </w:pPr>
    </w:p>
    <w:p>
      <w:pPr>
        <w:spacing w:after="70" w:before="200"/>
      </w:pPr>
      <w:r>
        <w:rPr>
          <w:rFonts w:ascii="Source Sans Pro" w:cs="Source Sans Pro" w:eastAsia="Source Sans Pro" w:hAnsi="Source Sans Pro"/>
          <w:b/>
          <w:bCs/>
          <w:color w:val="1D2B26"/>
          <w:sz w:val="19"/>
          <w:szCs w:val="19"/>
        </w:rPr>
        <w:t xml:space="preserve">#467 — Christensen 2024 (USA) — hybrid-design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6E4DE" w:val="clear"/>
            <w:tcMar>
              <w:top w:type="dxa" w:w="60"/>
              <w:left w:type="dxa" w:w="40"/>
              <w:bottom w:type="dxa" w:w="60"/>
              <w:right w:type="dxa" w:w="40"/>
            </w:tcMar>
            <w:vAlign w:val="center"/>
          </w:tcPr>
          <w:p>
            <w:pPr>
              <w:jc w:val="center"/>
            </w:pPr>
            <w:r>
              <w:rPr>
                <w:rFonts w:ascii="Consolas" w:cs="Consolas" w:eastAsia="Consolas" w:hAnsi="Consolas"/>
                <w:b/>
                <w:bCs/>
                <w:color w:val="A8452F"/>
                <w:sz w:val="15"/>
                <w:szCs w:val="15"/>
              </w:rPr>
              <w:t xml:space="preserve">DA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100"/>
      </w:pPr>
    </w:p>
    <w:p>
      <w:pPr>
        <w:spacing w:after="70" w:before="200"/>
      </w:pPr>
      <w:r>
        <w:rPr>
          <w:rFonts w:ascii="Source Sans Pro" w:cs="Source Sans Pro" w:eastAsia="Source Sans Pro" w:hAnsi="Source Sans Pro"/>
          <w:b/>
          <w:bCs/>
          <w:color w:val="1D2B26"/>
          <w:sz w:val="19"/>
          <w:szCs w:val="19"/>
        </w:rPr>
        <w:t xml:space="preserve">#582 — Heppner 2024 (Germany) — hybrid-design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E6E6E6" w:val="clear"/>
            <w:tcMar>
              <w:top w:type="dxa" w:w="60"/>
              <w:left w:type="dxa" w:w="40"/>
              <w:bottom w:type="dxa" w:w="60"/>
              <w:right w:type="dxa" w:w="40"/>
            </w:tcMar>
            <w:vAlign w:val="center"/>
          </w:tcPr>
          <w:p>
            <w:pPr>
              <w:jc w:val="center"/>
            </w:pPr>
            <w:r>
              <w:rPr>
                <w:rFonts w:ascii="Consolas" w:cs="Consolas" w:eastAsia="Consolas" w:hAnsi="Consolas"/>
                <w:b w:val="false"/>
                <w:bCs w:val="false"/>
                <w:color w:val="5A5A5A"/>
                <w:sz w:val="15"/>
                <w:szCs w:val="15"/>
              </w:rPr>
              <w:t xml:space="preserve">NC</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E6E6E6" w:val="clear"/>
            <w:tcMar>
              <w:top w:type="dxa" w:w="60"/>
              <w:left w:type="dxa" w:w="40"/>
              <w:bottom w:type="dxa" w:w="60"/>
              <w:right w:type="dxa" w:w="40"/>
            </w:tcMar>
            <w:vAlign w:val="center"/>
          </w:tcPr>
          <w:p>
            <w:pPr>
              <w:jc w:val="center"/>
            </w:pPr>
            <w:r>
              <w:rPr>
                <w:rFonts w:ascii="Consolas" w:cs="Consolas" w:eastAsia="Consolas" w:hAnsi="Consolas"/>
                <w:b w:val="false"/>
                <w:bCs w:val="false"/>
                <w:color w:val="5A5A5A"/>
                <w:sz w:val="15"/>
                <w:szCs w:val="15"/>
              </w:rPr>
              <w:t xml:space="preserve">NC</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6E4DE" w:val="clear"/>
            <w:tcMar>
              <w:top w:type="dxa" w:w="60"/>
              <w:left w:type="dxa" w:w="40"/>
              <w:bottom w:type="dxa" w:w="60"/>
              <w:right w:type="dxa" w:w="40"/>
            </w:tcMar>
            <w:vAlign w:val="center"/>
          </w:tcPr>
          <w:p>
            <w:pPr>
              <w:jc w:val="center"/>
            </w:pPr>
            <w:r>
              <w:rPr>
                <w:rFonts w:ascii="Consolas" w:cs="Consolas" w:eastAsia="Consolas" w:hAnsi="Consolas"/>
                <w:b/>
                <w:bCs/>
                <w:color w:val="A8452F"/>
                <w:sz w:val="15"/>
                <w:szCs w:val="15"/>
              </w:rPr>
              <w:t xml:space="preserve">DA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100"/>
      </w:pPr>
    </w:p>
    <w:p>
      <w:pPr>
        <w:spacing w:after="70" w:before="200"/>
      </w:pPr>
      <w:r>
        <w:rPr>
          <w:rFonts w:ascii="Source Sans Pro" w:cs="Source Sans Pro" w:eastAsia="Source Sans Pro" w:hAnsi="Source Sans Pro"/>
          <w:b/>
          <w:bCs/>
          <w:color w:val="1D2B26"/>
          <w:sz w:val="19"/>
          <w:szCs w:val="19"/>
        </w:rPr>
        <w:t xml:space="preserve">#621 — Parkin 2024 (Australia)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100"/>
      </w:pPr>
    </w:p>
    <w:p>
      <w:pPr>
        <w:spacing w:after="70" w:before="200"/>
      </w:pPr>
      <w:r>
        <w:rPr>
          <w:rFonts w:ascii="Source Sans Pro" w:cs="Source Sans Pro" w:eastAsia="Source Sans Pro" w:hAnsi="Source Sans Pro"/>
          <w:b/>
          <w:bCs/>
          <w:color w:val="1D2B26"/>
          <w:sz w:val="19"/>
          <w:szCs w:val="19"/>
        </w:rPr>
        <w:t xml:space="preserve">#729 — Odiase 2023 (USA)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100"/>
      </w:pPr>
    </w:p>
    <w:p>
      <w:pPr>
        <w:spacing w:after="70" w:before="200"/>
      </w:pPr>
      <w:r>
        <w:rPr>
          <w:rFonts w:ascii="Source Sans Pro" w:cs="Source Sans Pro" w:eastAsia="Source Sans Pro" w:hAnsi="Source Sans Pro"/>
          <w:b/>
          <w:bCs/>
          <w:color w:val="1D2B26"/>
          <w:sz w:val="19"/>
          <w:szCs w:val="19"/>
        </w:rPr>
        <w:t xml:space="preserve">#814 — Yin 2023 (China) — hybrid-design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100"/>
      </w:pPr>
    </w:p>
    <w:p>
      <w:pPr>
        <w:spacing w:after="70" w:before="200"/>
      </w:pPr>
      <w:r>
        <w:rPr>
          <w:rFonts w:ascii="Source Sans Pro" w:cs="Source Sans Pro" w:eastAsia="Source Sans Pro" w:hAnsi="Source Sans Pro"/>
          <w:b/>
          <w:bCs/>
          <w:color w:val="1D2B26"/>
          <w:sz w:val="19"/>
          <w:szCs w:val="19"/>
        </w:rPr>
        <w:t xml:space="preserve">#833 — Barnett 2023 (Netherlands)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100"/>
      </w:pPr>
    </w:p>
    <w:p>
      <w:pPr>
        <w:spacing w:after="70" w:before="200"/>
      </w:pPr>
      <w:r>
        <w:rPr>
          <w:rFonts w:ascii="Source Sans Pro" w:cs="Source Sans Pro" w:eastAsia="Source Sans Pro" w:hAnsi="Source Sans Pro"/>
          <w:b/>
          <w:bCs/>
          <w:color w:val="1D2B26"/>
          <w:sz w:val="19"/>
          <w:szCs w:val="19"/>
        </w:rPr>
        <w:t xml:space="preserve">#992 — Rosas-Salazar 2022 (USA)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6E4DE" w:val="clear"/>
            <w:tcMar>
              <w:top w:type="dxa" w:w="60"/>
              <w:left w:type="dxa" w:w="40"/>
              <w:bottom w:type="dxa" w:w="60"/>
              <w:right w:type="dxa" w:w="40"/>
            </w:tcMar>
            <w:vAlign w:val="center"/>
          </w:tcPr>
          <w:p>
            <w:pPr>
              <w:jc w:val="center"/>
            </w:pPr>
            <w:r>
              <w:rPr>
                <w:rFonts w:ascii="Consolas" w:cs="Consolas" w:eastAsia="Consolas" w:hAnsi="Consolas"/>
                <w:b/>
                <w:bCs/>
                <w:color w:val="A8452F"/>
                <w:sz w:val="15"/>
                <w:szCs w:val="15"/>
              </w:rPr>
              <w:t xml:space="preserve">DA</w:t>
            </w:r>
          </w:p>
        </w:tc>
        <w:tc>
          <w:tcPr>
            <w:tcW w:type="dxa" w:w="719"/>
            <w:shd w:fill="F6E4DE" w:val="clear"/>
            <w:tcMar>
              <w:top w:type="dxa" w:w="60"/>
              <w:left w:type="dxa" w:w="40"/>
              <w:bottom w:type="dxa" w:w="60"/>
              <w:right w:type="dxa" w:w="40"/>
            </w:tcMar>
            <w:vAlign w:val="center"/>
          </w:tcPr>
          <w:p>
            <w:pPr>
              <w:jc w:val="center"/>
            </w:pPr>
            <w:r>
              <w:rPr>
                <w:rFonts w:ascii="Consolas" w:cs="Consolas" w:eastAsia="Consolas" w:hAnsi="Consolas"/>
                <w:b/>
                <w:bCs/>
                <w:color w:val="A8452F"/>
                <w:sz w:val="15"/>
                <w:szCs w:val="15"/>
              </w:rPr>
              <w:t xml:space="preserve">DA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100"/>
      </w:pPr>
    </w:p>
    <w:p>
      <w:pPr>
        <w:spacing w:after="70" w:before="200"/>
      </w:pPr>
      <w:r>
        <w:rPr>
          <w:rFonts w:ascii="Source Sans Pro" w:cs="Source Sans Pro" w:eastAsia="Source Sans Pro" w:hAnsi="Source Sans Pro"/>
          <w:b/>
          <w:bCs/>
          <w:color w:val="1D2B26"/>
          <w:sz w:val="19"/>
          <w:szCs w:val="19"/>
        </w:rPr>
        <w:t xml:space="preserve">#1063 — Estorninos 2022 (Philippines) — hybrid-design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100"/>
      </w:pPr>
    </w:p>
    <w:p>
      <w:pPr>
        <w:spacing w:after="70" w:before="200"/>
      </w:pPr>
      <w:r>
        <w:rPr>
          <w:rFonts w:ascii="Source Sans Pro" w:cs="Source Sans Pro" w:eastAsia="Source Sans Pro" w:hAnsi="Source Sans Pro"/>
          <w:b/>
          <w:bCs/>
          <w:color w:val="1D2B26"/>
          <w:sz w:val="19"/>
          <w:szCs w:val="19"/>
        </w:rPr>
        <w:t xml:space="preserve">#1236 — Sugino 2021 (USA)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6E4DE" w:val="clear"/>
            <w:tcMar>
              <w:top w:type="dxa" w:w="60"/>
              <w:left w:type="dxa" w:w="40"/>
              <w:bottom w:type="dxa" w:w="60"/>
              <w:right w:type="dxa" w:w="40"/>
            </w:tcMar>
            <w:vAlign w:val="center"/>
          </w:tcPr>
          <w:p>
            <w:pPr>
              <w:jc w:val="center"/>
            </w:pPr>
            <w:r>
              <w:rPr>
                <w:rFonts w:ascii="Consolas" w:cs="Consolas" w:eastAsia="Consolas" w:hAnsi="Consolas"/>
                <w:b/>
                <w:bCs/>
                <w:color w:val="A8452F"/>
                <w:sz w:val="15"/>
                <w:szCs w:val="15"/>
              </w:rPr>
              <w:t xml:space="preserve">DA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100"/>
      </w:pPr>
    </w:p>
    <w:p>
      <w:pPr>
        <w:spacing w:after="70" w:before="200"/>
      </w:pPr>
      <w:r>
        <w:rPr>
          <w:rFonts w:ascii="Source Sans Pro" w:cs="Source Sans Pro" w:eastAsia="Source Sans Pro" w:hAnsi="Source Sans Pro"/>
          <w:b/>
          <w:bCs/>
          <w:color w:val="1D2B26"/>
          <w:sz w:val="19"/>
          <w:szCs w:val="19"/>
        </w:rPr>
        <w:t xml:space="preserve">#1245 — Jones 2020 (USA)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100"/>
      </w:pPr>
    </w:p>
    <w:p>
      <w:pPr>
        <w:spacing w:after="70" w:before="200"/>
      </w:pPr>
      <w:r>
        <w:rPr>
          <w:rFonts w:ascii="Source Sans Pro" w:cs="Source Sans Pro" w:eastAsia="Source Sans Pro" w:hAnsi="Source Sans Pro"/>
          <w:b/>
          <w:bCs/>
          <w:color w:val="1D2B26"/>
          <w:sz w:val="19"/>
          <w:szCs w:val="19"/>
        </w:rPr>
        <w:t xml:space="preserve">#1301 — Castanet 2020 (France/Greece/Austria) — hybrid-design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100"/>
      </w:pPr>
    </w:p>
    <w:p>
      <w:pPr>
        <w:spacing w:after="70" w:before="200"/>
      </w:pPr>
      <w:r>
        <w:rPr>
          <w:rFonts w:ascii="Source Sans Pro" w:cs="Source Sans Pro" w:eastAsia="Source Sans Pro" w:hAnsi="Source Sans Pro"/>
          <w:b/>
          <w:bCs/>
          <w:color w:val="1D2B26"/>
          <w:sz w:val="19"/>
          <w:szCs w:val="19"/>
        </w:rPr>
        <w:t xml:space="preserve">#1305 — Li 2020 (China)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100"/>
      </w:pPr>
    </w:p>
    <w:p>
      <w:pPr>
        <w:spacing w:after="70" w:before="200"/>
      </w:pPr>
      <w:r>
        <w:rPr>
          <w:rFonts w:ascii="Source Sans Pro" w:cs="Source Sans Pro" w:eastAsia="Source Sans Pro" w:hAnsi="Source Sans Pro"/>
          <w:b/>
          <w:bCs/>
          <w:color w:val="1D2B26"/>
          <w:sz w:val="19"/>
          <w:szCs w:val="19"/>
        </w:rPr>
        <w:t xml:space="preserve">#1334 — Berger 2020 (Italy/Belgium) — hybrid-design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100"/>
      </w:pPr>
    </w:p>
    <w:p>
      <w:pPr>
        <w:spacing w:after="70" w:before="200"/>
      </w:pPr>
      <w:r>
        <w:rPr>
          <w:rFonts w:ascii="Source Sans Pro" w:cs="Source Sans Pro" w:eastAsia="Source Sans Pro" w:hAnsi="Source Sans Pro"/>
          <w:b/>
          <w:bCs/>
          <w:color w:val="1D2B26"/>
          <w:sz w:val="19"/>
          <w:szCs w:val="19"/>
        </w:rPr>
        <w:t xml:space="preserve">#1499 — Akagawa 2019 (Japan)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F6E4DE" w:val="clear"/>
            <w:tcMar>
              <w:top w:type="dxa" w:w="60"/>
              <w:left w:type="dxa" w:w="40"/>
              <w:bottom w:type="dxa" w:w="60"/>
              <w:right w:type="dxa" w:w="40"/>
            </w:tcMar>
            <w:vAlign w:val="center"/>
          </w:tcPr>
          <w:p>
            <w:pPr>
              <w:jc w:val="center"/>
            </w:pPr>
            <w:r>
              <w:rPr>
                <w:rFonts w:ascii="Consolas" w:cs="Consolas" w:eastAsia="Consolas" w:hAnsi="Consolas"/>
                <w:b/>
                <w:bCs/>
                <w:color w:val="A8452F"/>
                <w:sz w:val="15"/>
                <w:szCs w:val="15"/>
              </w:rPr>
              <w:t xml:space="preserve">DA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100"/>
      </w:pPr>
    </w:p>
    <w:p>
      <w:pPr>
        <w:spacing w:after="70" w:before="200"/>
      </w:pPr>
      <w:r>
        <w:rPr>
          <w:rFonts w:ascii="Source Sans Pro" w:cs="Source Sans Pro" w:eastAsia="Source Sans Pro" w:hAnsi="Source Sans Pro"/>
          <w:b/>
          <w:bCs/>
          <w:color w:val="1D2B26"/>
          <w:sz w:val="19"/>
          <w:szCs w:val="19"/>
        </w:rPr>
        <w:t xml:space="preserve">#1536 — Korpela 2018 (Finland) — hybrid-design (structurally distinct)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100"/>
      </w:pPr>
    </w:p>
    <w:p>
      <w:pPr>
        <w:spacing w:after="70" w:before="200"/>
      </w:pPr>
      <w:r>
        <w:rPr>
          <w:rFonts w:ascii="Source Sans Pro" w:cs="Source Sans Pro" w:eastAsia="Source Sans Pro" w:hAnsi="Source Sans Pro"/>
          <w:b/>
          <w:bCs/>
          <w:color w:val="1D2B26"/>
          <w:sz w:val="19"/>
          <w:szCs w:val="19"/>
        </w:rPr>
        <w:t xml:space="preserve">#1547 — Savage 2018 (USA) — VDAART cohort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19"/>
            <w:shd w:fill="F6E4DE" w:val="clear"/>
            <w:tcMar>
              <w:top w:type="dxa" w:w="60"/>
              <w:left w:type="dxa" w:w="40"/>
              <w:bottom w:type="dxa" w:w="60"/>
              <w:right w:type="dxa" w:w="40"/>
            </w:tcMar>
            <w:vAlign w:val="center"/>
          </w:tcPr>
          <w:p>
            <w:pPr>
              <w:jc w:val="center"/>
            </w:pPr>
            <w:r>
              <w:rPr>
                <w:rFonts w:ascii="Consolas" w:cs="Consolas" w:eastAsia="Consolas" w:hAnsi="Consolas"/>
                <w:b/>
                <w:bCs/>
                <w:color w:val="A8452F"/>
                <w:sz w:val="15"/>
                <w:szCs w:val="15"/>
              </w:rPr>
              <w:t xml:space="preserve">DA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100"/>
      </w:pPr>
    </w:p>
    <w:p>
      <w:pPr>
        <w:spacing w:after="70" w:before="200"/>
      </w:pPr>
      <w:r>
        <w:rPr>
          <w:rFonts w:ascii="Source Sans Pro" w:cs="Source Sans Pro" w:eastAsia="Source Sans Pro" w:hAnsi="Source Sans Pro"/>
          <w:b/>
          <w:bCs/>
          <w:color w:val="1D2B26"/>
          <w:sz w:val="19"/>
          <w:szCs w:val="19"/>
        </w:rPr>
        <w:t xml:space="preserve">#1594 — Claassen-Weitz 2018 (South Africa)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6E4DE" w:val="clear"/>
            <w:tcMar>
              <w:top w:type="dxa" w:w="60"/>
              <w:left w:type="dxa" w:w="40"/>
              <w:bottom w:type="dxa" w:w="60"/>
              <w:right w:type="dxa" w:w="40"/>
            </w:tcMar>
            <w:vAlign w:val="center"/>
          </w:tcPr>
          <w:p>
            <w:pPr>
              <w:jc w:val="center"/>
            </w:pPr>
            <w:r>
              <w:rPr>
                <w:rFonts w:ascii="Consolas" w:cs="Consolas" w:eastAsia="Consolas" w:hAnsi="Consolas"/>
                <w:b/>
                <w:bCs/>
                <w:color w:val="A8452F"/>
                <w:sz w:val="15"/>
                <w:szCs w:val="15"/>
              </w:rPr>
              <w:t xml:space="preserve">DA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100"/>
      </w:pPr>
    </w:p>
    <w:p>
      <w:pPr>
        <w:spacing w:after="70" w:before="200"/>
      </w:pPr>
      <w:r>
        <w:rPr>
          <w:rFonts w:ascii="Source Sans Pro" w:cs="Source Sans Pro" w:eastAsia="Source Sans Pro" w:hAnsi="Source Sans Pro"/>
          <w:b/>
          <w:bCs/>
          <w:color w:val="1D2B26"/>
          <w:sz w:val="19"/>
          <w:szCs w:val="19"/>
        </w:rPr>
        <w:t xml:space="preserve">#1643 — Wopereis 2018 (Australia/Singapore/England/Ireland) — hybrid-design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100"/>
      </w:pPr>
    </w:p>
    <w:p>
      <w:pPr>
        <w:spacing w:after="70" w:before="200"/>
      </w:pPr>
      <w:r>
        <w:rPr>
          <w:rFonts w:ascii="Source Sans Pro" w:cs="Source Sans Pro" w:eastAsia="Source Sans Pro" w:hAnsi="Source Sans Pro"/>
          <w:b/>
          <w:bCs/>
          <w:color w:val="1D2B26"/>
          <w:sz w:val="19"/>
          <w:szCs w:val="19"/>
        </w:rPr>
        <w:t xml:space="preserve">#1734 — Sordillo 2017 (USA) — VDAART cohort, sister paper to #1547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100"/>
      </w:pPr>
    </w:p>
    <w:p>
      <w:pPr>
        <w:spacing w:after="70" w:before="200"/>
      </w:pPr>
      <w:r>
        <w:rPr>
          <w:rFonts w:ascii="Source Sans Pro" w:cs="Source Sans Pro" w:eastAsia="Source Sans Pro" w:hAnsi="Source Sans Pro"/>
          <w:b/>
          <w:bCs/>
          <w:color w:val="1D2B26"/>
          <w:sz w:val="19"/>
          <w:szCs w:val="19"/>
        </w:rPr>
        <w:t xml:space="preserve">#1815 — Simeoni 2016 (France/Poland) — hybrid-design, direct predecessor to #1301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100"/>
      </w:pPr>
    </w:p>
    <w:p>
      <w:pPr>
        <w:spacing w:after="70" w:before="200"/>
      </w:pPr>
      <w:r>
        <w:rPr>
          <w:rFonts w:ascii="Source Sans Pro" w:cs="Source Sans Pro" w:eastAsia="Source Sans Pro" w:hAnsi="Source Sans Pro"/>
          <w:b/>
          <w:bCs/>
          <w:color w:val="1D2B26"/>
          <w:sz w:val="19"/>
          <w:szCs w:val="19"/>
        </w:rPr>
        <w:t xml:space="preserve">#1860 — Bäckhed 2015 (Sweden) — final study, corpus "anchor"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79"/>
        <w:gridCol w:w="779"/>
        <w:gridCol w:w="779"/>
        <w:gridCol w:w="779"/>
        <w:gridCol w:w="779"/>
        <w:gridCol w:w="779"/>
        <w:gridCol w:w="779"/>
        <w:gridCol w:w="779"/>
        <w:gridCol w:w="779"/>
        <w:gridCol w:w="779"/>
        <w:gridCol w:w="779"/>
        <w:gridCol w:w="779"/>
      </w:tblGrid>
      <w:tr>
        <w:trPr>
          <w:tblHeader/>
        </w:trPr>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A4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B4</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C1</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C2</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C3</w:t>
            </w:r>
          </w:p>
        </w:tc>
        <w:tc>
          <w:tcPr>
            <w:tcW w:type="dxa" w:w="77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C4</w:t>
            </w:r>
          </w:p>
        </w:tc>
      </w:tr>
      <w:tr>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7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9"/>
        <w:gridCol w:w="719"/>
        <w:gridCol w:w="719"/>
        <w:gridCol w:w="719"/>
        <w:gridCol w:w="719"/>
        <w:gridCol w:w="719"/>
        <w:gridCol w:w="719"/>
        <w:gridCol w:w="719"/>
        <w:gridCol w:w="719"/>
        <w:gridCol w:w="719"/>
        <w:gridCol w:w="719"/>
        <w:gridCol w:w="719"/>
        <w:gridCol w:w="719"/>
      </w:tblGrid>
      <w:tr>
        <w:trPr>
          <w:tblHeader/>
        </w:trPr>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D5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E1</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E2</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E3</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E4</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E5</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E6</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E7</w:t>
            </w:r>
          </w:p>
        </w:tc>
        <w:tc>
          <w:tcPr>
            <w:tcW w:type="dxa" w:w="719"/>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E8</w:t>
            </w:r>
          </w:p>
        </w:tc>
      </w:tr>
      <w:tr>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19"/>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719"/>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r>
    </w:tbl>
    <w:p>
      <w:pPr>
        <w:spacing w:after="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rPr>
          <w:tblHeader/>
        </w:trPr>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F1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G3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H1</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H2</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H3</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H4</w:t>
            </w:r>
          </w:p>
        </w:tc>
        <w:tc>
          <w:tcPr>
            <w:tcW w:type="dxa" w:w="1038"/>
            <w:shd w:fill="EFE9D8" w:val="clear"/>
            <w:tcMar>
              <w:top w:type="dxa" w:w="50"/>
              <w:left w:type="dxa" w:w="40"/>
              <w:bottom w:type="dxa" w:w="50"/>
              <w:right w:type="dxa" w:w="40"/>
            </w:tcMar>
          </w:tcPr>
          <w:p>
            <w:pPr>
              <w:jc w:val="center"/>
            </w:pPr>
            <w:r>
              <w:rPr>
                <w:rFonts w:ascii="Consolas" w:cs="Consolas" w:eastAsia="Consolas" w:hAnsi="Consolas"/>
                <w:b/>
                <w:bCs/>
                <w:color w:val="4F5E58"/>
                <w:sz w:val="14"/>
                <w:szCs w:val="14"/>
              </w:rPr>
              <w:t xml:space="preserve">I1</w:t>
            </w:r>
          </w:p>
        </w:tc>
      </w:tr>
      <w:tr>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DCEBE3" w:val="clear"/>
            <w:tcMar>
              <w:top w:type="dxa" w:w="60"/>
              <w:left w:type="dxa" w:w="40"/>
              <w:bottom w:type="dxa" w:w="60"/>
              <w:right w:type="dxa" w:w="40"/>
            </w:tcMar>
            <w:vAlign w:val="center"/>
          </w:tcPr>
          <w:p>
            <w:pPr>
              <w:jc w:val="center"/>
            </w:pPr>
            <w:r>
              <w:rPr>
                <w:rFonts w:ascii="Consolas" w:cs="Consolas" w:eastAsia="Consolas" w:hAnsi="Consolas"/>
                <w:b w:val="false"/>
                <w:bCs w:val="false"/>
                <w:color w:val="1D4A3D"/>
                <w:sz w:val="15"/>
                <w:szCs w:val="15"/>
              </w:rPr>
              <w:t xml:space="preserve">FA</w:t>
            </w:r>
          </w:p>
        </w:tc>
        <w:tc>
          <w:tcPr>
            <w:tcW w:type="dxa" w:w="1038"/>
            <w:shd w:fill="F3EED9" w:val="clear"/>
            <w:tcMar>
              <w:top w:type="dxa" w:w="60"/>
              <w:left w:type="dxa" w:w="40"/>
              <w:bottom w:type="dxa" w:w="60"/>
              <w:right w:type="dxa" w:w="40"/>
            </w:tcMar>
            <w:vAlign w:val="center"/>
          </w:tcPr>
          <w:p>
            <w:pPr>
              <w:jc w:val="center"/>
            </w:pPr>
            <w:r>
              <w:rPr>
                <w:rFonts w:ascii="Consolas" w:cs="Consolas" w:eastAsia="Consolas" w:hAnsi="Consolas"/>
                <w:b w:val="false"/>
                <w:bCs w:val="false"/>
                <w:color w:val="7A6A2E"/>
                <w:sz w:val="15"/>
                <w:szCs w:val="15"/>
              </w:rPr>
              <w:t xml:space="preserve">PA</w:t>
            </w:r>
          </w:p>
        </w:tc>
      </w:tr>
    </w:tbl>
    <w:p>
      <w:pPr>
        <w:spacing w:after="100"/>
      </w:pPr>
    </w:p>
    <w:p>
      <w:pPr>
        <w:pBdr>
          <w:bottom w:val="single" w:color="C9BFA6" w:sz="6" w:space="1"/>
        </w:pBdr>
        <w:spacing w:after="200" w:before="120"/>
      </w:pPr>
    </w:p>
    <w:p>
      <w:pPr>
        <w:spacing w:after="140" w:before="0"/>
      </w:pPr>
      <w:r>
        <w:rPr>
          <w:rFonts w:ascii="Source Sans Pro" w:cs="Source Sans Pro" w:eastAsia="Source Sans Pro" w:hAnsi="Source Sans Pro"/>
          <w:color w:val="4F5E58"/>
          <w:sz w:val="17"/>
          <w:szCs w:val="17"/>
        </w:rPr>
        <w:t xml:space="preserve">Legend: FA = full agreement · PA = partial agreement · DA = disagreement · NC = not comparable. Field codes follow Section 1 headers above.</w:t>
      </w:r>
    </w:p>
    <w:sectPr>
      <w:pgSz w:w="12240" w:h="15840"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Pro" w:cs="Source Sans Pro" w:eastAsia="Source Sans Pro" w:hAnsi="Source Sans Pro"/>
        <w:color w:val="1D2B26"/>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2026-10-16T20:24:49.395Z</dcterms:created>
  <dcterms:modified xsi:type="dcterms:W3CDTF">2026-10-16T20:24:49.401Z</dcterms:modified>
</cp:coreProperties>
</file>

<file path=docProps/custom.xml><?xml version="1.0" encoding="utf-8"?>
<Properties xmlns="http://schemas.openxmlformats.org/officeDocument/2006/custom-properties" xmlns:vt="http://schemas.openxmlformats.org/officeDocument/2006/docPropsVTypes"/>
</file>