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ource Sans Pro" w:cs="Source Sans Pro" w:eastAsia="Source Sans Pro" w:hAnsi="Source Sans Pro"/>
          <w:b/>
          <w:bCs/>
          <w:color w:val="1D4A3D"/>
          <w:sz w:val="16"/>
          <w:szCs w:val="16"/>
        </w:rPr>
        <w:t xml:space="preserve">EXTRACTION REFERENCE · V1</w:t>
      </w:r>
    </w:p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D2B26"/>
          <w:sz w:val="56"/>
          <w:szCs w:val="56"/>
        </w:rPr>
        <w:t xml:space="preserve">Infant Microbiome Codebook</w:t>
      </w:r>
    </w:p>
    <w:p>
      <w:pPr>
        <w:spacing w:after="220"/>
      </w:pPr>
      <w:r>
        <w:rPr>
          <w:color w:val="4F5E58"/>
          <w:sz w:val="21"/>
          <w:szCs w:val="21"/>
        </w:rPr>
        <w:t xml:space="preserve">Field-by-field instructions for extracting data from included studies in Covidence, for Breastfeeding versus formula feeding and the infant gut microbiome (PROSPERO CRD420261485879). Every field below traces to a specific line in protocol.md — nothing here is invented at extraction time.</w:t>
      </w:r>
    </w:p>
    <w:p>
      <w:pPr>
        <w:pBdr>
          <w:top w:val="single" w:color="C9BFA6" w:sz="6" w:space="8"/>
        </w:pBdr>
        <w:spacing w:after="300"/>
      </w:pPr>
      <w:r>
        <w:rPr>
          <w:b/>
          <w:bCs/>
          <w:color w:val="4F5E58"/>
          <w:sz w:val="17"/>
          <w:szCs w:val="17"/>
        </w:rPr>
        <w:t xml:space="preserve">Review:  </w:t>
      </w:r>
      <w:r>
        <w:rPr>
          <w:color w:val="4F5E58"/>
          <w:sz w:val="17"/>
          <w:szCs w:val="17"/>
        </w:rPr>
        <w:t xml:space="preserve">Covidence 818465, microbiome_methodologies    </w:t>
      </w:r>
      <w:r>
        <w:rPr>
          <w:b/>
          <w:bCs/>
          <w:color w:val="4F5E58"/>
          <w:sz w:val="17"/>
          <w:szCs w:val="17"/>
        </w:rPr>
        <w:t xml:space="preserve">Stage:  </w:t>
      </w:r>
      <w:r>
        <w:rPr>
          <w:color w:val="4F5E58"/>
          <w:sz w:val="17"/>
          <w:szCs w:val="17"/>
        </w:rPr>
        <w:t xml:space="preserve">Extraction    </w:t>
      </w:r>
      <w:r>
        <w:rPr>
          <w:b/>
          <w:bCs/>
          <w:color w:val="4F5E58"/>
          <w:sz w:val="17"/>
          <w:szCs w:val="17"/>
        </w:rPr>
        <w:t xml:space="preserve">Synthesis:  </w:t>
      </w:r>
      <w:r>
        <w:rPr>
          <w:color w:val="4F5E58"/>
          <w:sz w:val="17"/>
          <w:szCs w:val="17"/>
        </w:rPr>
        <w:t xml:space="preserve">narrative, vote-counting — no meta-analysis</w:t>
      </w:r>
    </w:p>
    <w:tbl>
      <w:tblPr>
        <w:tblW w:type="dxa" w:w="9350"/>
        <w:tblBorders>
          <w:top w:val="single" w:color="1D4A3D" w:sz="4"/>
          <w:left w:val="single" w:color="1D4A3D" w:sz="24"/>
          <w:bottom w:val="single" w:color="C9BFA6" w:sz="4"/>
          <w:right w:val="single" w:color="C9BFA6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D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D4A3D"/>
                <w:sz w:val="21"/>
                <w:szCs w:val="21"/>
              </w:rPr>
              <w:t xml:space="preserve">Before you start extracting</w:t>
            </w:r>
          </w:p>
          <w:p>
            <w:pPr>
              <w:spacing w:after="100" w:before="0"/>
            </w:pPr>
            <w:r>
              <w:rPr>
                <w:rFonts w:ascii="Source Sans Pro" w:cs="Source Sans Pro" w:eastAsia="Source Sans Pro" w:hAnsi="Source Sans Pro"/>
                <w:color w:val="4F5E58"/>
                <w:sz w:val="19"/>
                <w:szCs w:val="19"/>
              </w:rPr>
              <w:t xml:space="preserve">Do full duplicate extraction on a 20% sample first — both reviewers independently complete the form for the same studies, then compare in Covidence to check agreement. Once that's checked, switch to single extraction with verification for the remaining studies — not duplicate extraction on everything.</w:t>
            </w:r>
          </w:p>
          <w:p>
            <w:pPr>
              <w:spacing w:after="0" w:before="0"/>
            </w:pPr>
            <w:r>
              <w:rPr>
                <w:rFonts w:ascii="Source Sans Pro" w:cs="Source Sans Pro" w:eastAsia="Source Sans Pro" w:hAnsi="Source Sans Pro"/>
                <w:color w:val="4F5E58"/>
                <w:sz w:val="19"/>
                <w:szCs w:val="19"/>
              </w:rPr>
              <w:t xml:space="preserve">Default rule for any field a study doesn't report: write </w:t>
            </w:r>
            <w:r>
              <w:rPr>
                <w:rFonts w:ascii="Consolas" w:cs="Consolas" w:eastAsia="Consolas" w:hAnsi="Consolas"/>
                <w:color w:val="1D2B26"/>
                <w:sz w:val="18"/>
                <w:szCs w:val="18"/>
                <w:shd w:fill="E9F1EC" w:val="clear"/>
              </w:rPr>
              <w:t xml:space="preserve">NOT REPORTED</w:t>
            </w:r>
            <w:r>
              <w:rPr>
                <w:rFonts w:ascii="Source Sans Pro" w:cs="Source Sans Pro" w:eastAsia="Source Sans Pro" w:hAnsi="Source Sans Pro"/>
                <w:color w:val="4F5E58"/>
                <w:sz w:val="19"/>
                <w:szCs w:val="19"/>
              </w:rPr>
              <w:t xml:space="preserve"> rather than leaving it blank or guessing. A blank field is ambiguous between "not reported" and "not yet extracted" — </w:t>
            </w:r>
            <w:r>
              <w:rPr>
                <w:rFonts w:ascii="Consolas" w:cs="Consolas" w:eastAsia="Consolas" w:hAnsi="Consolas"/>
                <w:color w:val="1D2B26"/>
                <w:sz w:val="18"/>
                <w:szCs w:val="18"/>
                <w:shd w:fill="E9F1EC" w:val="clear"/>
              </w:rPr>
              <w:t xml:space="preserve">NOT REPORTED</w:t>
            </w:r>
            <w:r>
              <w:rPr>
                <w:rFonts w:ascii="Source Sans Pro" w:cs="Source Sans Pro" w:eastAsia="Source Sans Pro" w:hAnsi="Source Sans Pro"/>
                <w:color w:val="4F5E58"/>
                <w:sz w:val="19"/>
                <w:szCs w:val="19"/>
              </w:rPr>
              <w:t xml:space="preserve"> isn't.</w:t>
            </w:r>
          </w:p>
        </w:tc>
      </w:tr>
    </w:tbl>
    <w:p>
      <w:pPr>
        <w:pStyle w:val="Heading1"/>
        <w:pageBreakBefore/>
        <w:spacing w:after="100" w:before="500"/>
      </w:pPr>
      <w:r>
        <w:rPr>
          <w:rFonts w:ascii="Georgia" w:cs="Georgia" w:eastAsia="Georgia" w:hAnsi="Georgia"/>
          <w:b/>
          <w:bCs/>
          <w:color w:val="1D2B26"/>
          <w:sz w:val="34"/>
          <w:szCs w:val="34"/>
        </w:rPr>
        <w:t xml:space="preserve">Data Extraction Template</w:t>
      </w:r>
    </w:p>
    <w:p>
      <w:pPr>
        <w:pStyle w:val="Heading2"/>
        <w:spacing w:after="120" w:before="420"/>
      </w:pPr>
      <w:r>
        <w:rPr>
          <w:rFonts w:ascii="Georgia" w:cs="Georgia" w:eastAsia="Georgia" w:hAnsi="Georgia"/>
          <w:b/>
          <w:bCs/>
          <w:color w:val="1D4A3D"/>
          <w:sz w:val="27"/>
          <w:szCs w:val="27"/>
        </w:rPr>
        <w:t xml:space="preserve">A.  </w:t>
      </w:r>
      <w:r>
        <w:rPr>
          <w:rFonts w:ascii="Georgia" w:cs="Georgia" w:eastAsia="Georgia" w:hAnsi="Georgia"/>
          <w:b/>
          <w:bCs/>
          <w:color w:val="1D2B26"/>
          <w:sz w:val="27"/>
          <w:szCs w:val="27"/>
        </w:rPr>
        <w:t xml:space="preserve">Study identification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Basic bibliographic and design facts — read once per study, used to group and cite it everywhere else in the synthesis.</w:t>
      </w:r>
    </w:p>
    <w:tbl>
      <w:tblPr>
        <w:tblW w:type="dxa" w:w="935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2100"/>
        <w:gridCol w:w="1850"/>
        <w:gridCol w:w="5400"/>
      </w:tblGrid>
      <w:tr>
        <w:trPr>
          <w:tblHeader/>
        </w:trPr>
        <w:tc>
          <w:tcPr>
            <w:tcW w:type="dxa" w:w="21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FIELD</w:t>
            </w:r>
          </w:p>
        </w:tc>
        <w:tc>
          <w:tcPr>
            <w:tcW w:type="dxa" w:w="185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TYPE</w:t>
            </w:r>
          </w:p>
        </w:tc>
        <w:tc>
          <w:tcPr>
            <w:tcW w:type="dxa" w:w="54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INSTRUCTION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First author, year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i w:val="false"/>
                <w:iCs w:val="false"/>
                <w:color w:val="4F5E58"/>
                <w:sz w:val="19"/>
                <w:szCs w:val="19"/>
              </w:rPr>
              <w:t xml:space="preserve">Standard citation short-form.</w:t>
            </w:r>
          </w:p>
          <w:p>
            <w:pPr>
              <w:spacing w:after="0"/>
            </w:pPr>
            <w:r>
              <w:rPr>
                <w:i/>
                <w:iCs/>
                <w:color w:val="4F5E58"/>
                <w:sz w:val="19"/>
                <w:szCs w:val="19"/>
              </w:rPr>
              <w:t xml:space="preserve">e.g. “Madan 2016”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Country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Country the cohort was recruited in, not the authors’ institutional affiliation if different.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Study design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4F5E58"/>
                <w:sz w:val="19"/>
                <w:szCs w:val="19"/>
              </w:rPr>
              <w:t xml:space="preserve">This choice decides which risk-of-bias tool to use in the Quality Assessment template below — check it carefully before moving on.</w:t>
            </w:r>
          </w:p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RCT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non-randomized intervention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prospective cohort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retrospective cohort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cross-sectional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case-control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Funding source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Note specifically if a formula manufacturer funded or supplied product — relevant context for interpreting direction of effect later, not a quality-assessment item on its own.</w:t>
            </w:r>
          </w:p>
        </w:tc>
      </w:tr>
    </w:tbl>
    <w:p>
      <w:pPr>
        <w:pStyle w:val="Heading2"/>
        <w:spacing w:after="120" w:before="420"/>
      </w:pPr>
      <w:r>
        <w:rPr>
          <w:rFonts w:ascii="Georgia" w:cs="Georgia" w:eastAsia="Georgia" w:hAnsi="Georgia"/>
          <w:b/>
          <w:bCs/>
          <w:color w:val="1D4A3D"/>
          <w:sz w:val="27"/>
          <w:szCs w:val="27"/>
        </w:rPr>
        <w:t xml:space="preserve">B.  </w:t>
      </w:r>
      <w:r>
        <w:rPr>
          <w:rFonts w:ascii="Georgia" w:cs="Georgia" w:eastAsia="Georgia" w:hAnsi="Georgia"/>
          <w:b/>
          <w:bCs/>
          <w:color w:val="1D2B26"/>
          <w:sz w:val="27"/>
          <w:szCs w:val="27"/>
        </w:rPr>
        <w:t xml:space="preserve">Population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Confirms the cohort is in scope (healthy term infants, 0–12 months) and records the basic denominators everything else is reported against.</w:t>
      </w:r>
    </w:p>
    <w:tbl>
      <w:tblPr>
        <w:tblW w:type="dxa" w:w="935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2100"/>
        <w:gridCol w:w="1850"/>
        <w:gridCol w:w="5400"/>
      </w:tblGrid>
      <w:tr>
        <w:trPr>
          <w:tblHeader/>
        </w:trPr>
        <w:tc>
          <w:tcPr>
            <w:tcW w:type="dxa" w:w="21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FIELD</w:t>
            </w:r>
          </w:p>
        </w:tc>
        <w:tc>
          <w:tcPr>
            <w:tcW w:type="dxa" w:w="185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TYPE</w:t>
            </w:r>
          </w:p>
        </w:tc>
        <w:tc>
          <w:tcPr>
            <w:tcW w:type="dxa" w:w="54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INSTRUCTION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Total cohort N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number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The analyzed N for the microbiome outcome specifically — not the full parent-trial enrollment if this is a substudy with a smaller biospecimen subsample.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Gestational age range / criteria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Record as reported, e.g. “≥37 weeks” or a mean±SD. Already screened for term status at full-text stage — this is for the synthesis table, not a re-check of eligibility.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Infant age(s) at stool sampling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text, repeatable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List every sampling timepoint reported, not just baseline — a longitudinal study may contribute to more than one age band in Section G.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Delivery mode reported?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yes/no + breakdown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If yes, record vaginal vs. cesarean Ns — delivery mode is a standard confounder checked against in Section G, independent of whether this study adjusted for it.</w:t>
            </w:r>
          </w:p>
        </w:tc>
      </w:tr>
    </w:tbl>
    <w:p>
      <w:pPr>
        <w:pStyle w:val="Heading2"/>
        <w:spacing w:after="120" w:before="420"/>
      </w:pPr>
      <w:r>
        <w:rPr>
          <w:rFonts w:ascii="Georgia" w:cs="Georgia" w:eastAsia="Georgia" w:hAnsi="Georgia"/>
          <w:b/>
          <w:bCs/>
          <w:color w:val="1D4A3D"/>
          <w:sz w:val="27"/>
          <w:szCs w:val="27"/>
        </w:rPr>
        <w:t xml:space="preserve">C.  </w:t>
      </w:r>
      <w:r>
        <w:rPr>
          <w:rFonts w:ascii="Georgia" w:cs="Georgia" w:eastAsia="Georgia" w:hAnsi="Georgia"/>
          <w:b/>
          <w:bCs/>
          <w:color w:val="1D2B26"/>
          <w:sz w:val="27"/>
          <w:szCs w:val="27"/>
        </w:rPr>
        <w:t xml:space="preserve">Exposure / comparator definition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Feeds RQ4 — how feeding mode was defined, categorized, and ascertained, and how comparable that definition is across studies. This is the field RQ1’s method-dependence question actually turns on, so be exact rather than paraphrasing.</w:t>
      </w:r>
      <w:r>
        <w:rPr>
          <w:rFonts w:ascii="Consolas" w:cs="Consolas" w:eastAsia="Consolas" w:hAnsi="Consolas"/>
          <w:b/>
          <w:bCs/>
          <w:color w:val="1D4A3D"/>
          <w:sz w:val="15"/>
          <w:szCs w:val="15"/>
          <w:shd w:fill="DCEBE3" w:val="clear"/>
        </w:rPr>
        <w:t xml:space="preserve">  RQ4</w:t>
      </w:r>
    </w:p>
    <w:tbl>
      <w:tblPr>
        <w:tblW w:type="dxa" w:w="935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2100"/>
        <w:gridCol w:w="1850"/>
        <w:gridCol w:w="5400"/>
      </w:tblGrid>
      <w:tr>
        <w:trPr>
          <w:tblHeader/>
        </w:trPr>
        <w:tc>
          <w:tcPr>
            <w:tcW w:type="dxa" w:w="21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FIELD</w:t>
            </w:r>
          </w:p>
        </w:tc>
        <w:tc>
          <w:tcPr>
            <w:tcW w:type="dxa" w:w="185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TYPE</w:t>
            </w:r>
          </w:p>
        </w:tc>
        <w:tc>
          <w:tcPr>
            <w:tcW w:type="dxa" w:w="54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INSTRUCTION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Feeding-group definitions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VERBATIM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Quote the study’s own operational definition directly — e.g. “&gt;80% of total feeds” or “no formula since birth.” Do not normalize into your own words; the exact wording is the data point for RQ1/RQ4.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Classification used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4F5E58"/>
                <w:sz w:val="19"/>
                <w:szCs w:val="19"/>
              </w:rPr>
              <w:t xml:space="preserve">“Mixed feeding” only counts as a distinct comparator group if the study itself reports it as its own group with its own N — otherwise classify the nearest matching exclusive/predominant category and note the discrepancy in Section I.</w:t>
            </w:r>
          </w:p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exclusive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predominant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any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mixed-as-distinct-group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other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Ascertainment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prospective record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caregiver recall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not stated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N per feeding group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number, repeatable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One row per group as the study itself defines them. If groups don’t sum to the Section B total, note why in Section I (e.g. exclusions, missing feeding data).</w:t>
            </w:r>
          </w:p>
        </w:tc>
      </w:tr>
    </w:tbl>
    <w:p>
      <w:pPr>
        <w:pStyle w:val="Heading2"/>
        <w:spacing w:after="120" w:before="420"/>
      </w:pPr>
      <w:r>
        <w:rPr>
          <w:rFonts w:ascii="Georgia" w:cs="Georgia" w:eastAsia="Georgia" w:hAnsi="Georgia"/>
          <w:b/>
          <w:bCs/>
          <w:color w:val="1D4A3D"/>
          <w:sz w:val="27"/>
          <w:szCs w:val="27"/>
        </w:rPr>
        <w:t xml:space="preserve">D.  </w:t>
      </w:r>
      <w:r>
        <w:rPr>
          <w:rFonts w:ascii="Georgia" w:cs="Georgia" w:eastAsia="Georgia" w:hAnsi="Georgia"/>
          <w:b/>
          <w:bCs/>
          <w:color w:val="1D2B26"/>
          <w:sz w:val="27"/>
          <w:szCs w:val="27"/>
        </w:rPr>
        <w:t xml:space="preserve">Profiling method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Feeds RQ1 and RQ5 — the specific sequencing and analytic choices that RQ1 asks whether reported differences are conditional on.</w:t>
      </w:r>
      <w:r>
        <w:rPr>
          <w:rFonts w:ascii="Consolas" w:cs="Consolas" w:eastAsia="Consolas" w:hAnsi="Consolas"/>
          <w:b/>
          <w:bCs/>
          <w:color w:val="1D4A3D"/>
          <w:sz w:val="15"/>
          <w:szCs w:val="15"/>
          <w:shd w:fill="DCEBE3" w:val="clear"/>
        </w:rPr>
        <w:t xml:space="preserve">  RQ1 / RQ5</w:t>
      </w:r>
    </w:p>
    <w:tbl>
      <w:tblPr>
        <w:tblW w:type="dxa" w:w="935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2100"/>
        <w:gridCol w:w="1850"/>
        <w:gridCol w:w="5400"/>
      </w:tblGrid>
      <w:tr>
        <w:trPr>
          <w:tblHeader/>
        </w:trPr>
        <w:tc>
          <w:tcPr>
            <w:tcW w:type="dxa" w:w="21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FIELD</w:t>
            </w:r>
          </w:p>
        </w:tc>
        <w:tc>
          <w:tcPr>
            <w:tcW w:type="dxa" w:w="185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TYPE</w:t>
            </w:r>
          </w:p>
        </w:tc>
        <w:tc>
          <w:tcPr>
            <w:tcW w:type="dxa" w:w="54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INSTRUCTION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Sequencing method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16S rRNA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shotgun metagenomics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both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16S hypervariable region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e.g. “V3–V4”. Write N/A (not NOT REPORTED) if the study is shotgun-only — the region genuinely doesn’t apply rather than being omitted.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Sequencing platform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e.g. Illumina MiSeq, Illumina NovaSeq, Ion PGM.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Bioinformatic pipeline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e.g. QIIME2/DADA2, Mothur, custom. Include version number if the study reports one.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Reference database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e.g. SILVA 138, Greengenes, RDP — and the version, since database version shifts taxonomic assignment.</w:t>
            </w:r>
          </w:p>
        </w:tc>
      </w:tr>
    </w:tbl>
    <w:p>
      <w:pPr>
        <w:pStyle w:val="Heading2"/>
        <w:spacing w:after="120" w:before="420"/>
      </w:pPr>
      <w:r>
        <w:rPr>
          <w:rFonts w:ascii="Georgia" w:cs="Georgia" w:eastAsia="Georgia" w:hAnsi="Georgia"/>
          <w:b/>
          <w:bCs/>
          <w:color w:val="1D4A3D"/>
          <w:sz w:val="27"/>
          <w:szCs w:val="27"/>
        </w:rPr>
        <w:t xml:space="preserve">E.  </w:t>
      </w:r>
      <w:r>
        <w:rPr>
          <w:rFonts w:ascii="Georgia" w:cs="Georgia" w:eastAsia="Georgia" w:hAnsi="Georgia"/>
          <w:b/>
          <w:bCs/>
          <w:color w:val="1D2B26"/>
          <w:sz w:val="27"/>
          <w:szCs w:val="27"/>
        </w:rPr>
        <w:t xml:space="preserve">Composition outcomes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Primary outcome, feeds RQ2. Direction-of-effect fields use the review’s standard four-way vote-counting scale everywhere in the codebook — keep the same four values for every outcome, in every section.</w:t>
      </w:r>
      <w:r>
        <w:rPr>
          <w:rFonts w:ascii="Consolas" w:cs="Consolas" w:eastAsia="Consolas" w:hAnsi="Consolas"/>
          <w:b/>
          <w:bCs/>
          <w:color w:val="1D4A3D"/>
          <w:sz w:val="15"/>
          <w:szCs w:val="15"/>
          <w:shd w:fill="DCEBE3" w:val="clear"/>
        </w:rPr>
        <w:t xml:space="preserve">  RQ2</w:t>
      </w:r>
    </w:p>
    <w:tbl>
      <w:tblPr>
        <w:tblW w:type="dxa" w:w="935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2100"/>
        <w:gridCol w:w="1850"/>
        <w:gridCol w:w="5400"/>
      </w:tblGrid>
      <w:tr>
        <w:trPr>
          <w:tblHeader/>
        </w:trPr>
        <w:tc>
          <w:tcPr>
            <w:tcW w:type="dxa" w:w="21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FIELD</w:t>
            </w:r>
          </w:p>
        </w:tc>
        <w:tc>
          <w:tcPr>
            <w:tcW w:type="dxa" w:w="185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TYPE</w:t>
            </w:r>
          </w:p>
        </w:tc>
        <w:tc>
          <w:tcPr>
            <w:tcW w:type="dxa" w:w="54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INSTRUCTION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Alpha diversity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yes/no + metric + direction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Record the metric used (e.g. Shannon, Chao1, observed richness, Faith’s PD) alongside the direction. If more than one metric is reported, add a row per metric rather than averaging them yourself.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Beta diversity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yes/no + metric + direction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Record the distance metric (e.g. Bray–Curtis, weighted/unweighted UniFrac) and its associated test (e.g. PERMANOVA) alongside the direction.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Direction of effect (both rows above)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4F5E58"/>
                <w:sz w:val="19"/>
                <w:szCs w:val="19"/>
              </w:rPr>
              <w:t xml:space="preserve">Use “not estimable” rather than guessing or leaving blank when reporting is insufficient to classify direction — this is the review’s own pre-specified escape value, shown in the harvest-plot key rather than silently dropped.</w:t>
            </w:r>
          </w:p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higher in breastfed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higher in formula-fed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 difference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not estimable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Bifidobacterium, Bacteroides, Clostridia, Enterobacteriaceae, Lactobacillus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 per taxon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These five genera/families get their own row each, win or lose — record “not reported” per taxon if the study doesn’t mention it, rather than omitting the row. This is the review’s named emphasis list (Objective 2); consistency here is what makes the cross-study comparison possible.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Other differentially abundant taxa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Any additional taxa the study itself highlights as significantly different, with direction and the statistical method used (e.g. LEfSe, MaAsLin2, DESeq2).</w:t>
            </w:r>
          </w:p>
        </w:tc>
      </w:tr>
    </w:tbl>
    <w:p>
      <w:pPr>
        <w:pStyle w:val="Heading2"/>
        <w:spacing w:after="120" w:before="420"/>
      </w:pPr>
      <w:r>
        <w:rPr>
          <w:rFonts w:ascii="Georgia" w:cs="Georgia" w:eastAsia="Georgia" w:hAnsi="Georgia"/>
          <w:b/>
          <w:bCs/>
          <w:color w:val="1D4A3D"/>
          <w:sz w:val="27"/>
          <w:szCs w:val="27"/>
        </w:rPr>
        <w:t xml:space="preserve">F.  </w:t>
      </w:r>
      <w:r>
        <w:rPr>
          <w:rFonts w:ascii="Georgia" w:cs="Georgia" w:eastAsia="Georgia" w:hAnsi="Georgia"/>
          <w:b/>
          <w:bCs/>
          <w:color w:val="1D2B26"/>
          <w:sz w:val="27"/>
          <w:szCs w:val="27"/>
        </w:rPr>
        <w:t xml:space="preserve">Functional outcomes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Secondary outcome, feeds RQ3. Not a gate — a study can be a full Include with every field here marked “not reported” if it never measured function.</w:t>
      </w:r>
      <w:r>
        <w:rPr>
          <w:rFonts w:ascii="Consolas" w:cs="Consolas" w:eastAsia="Consolas" w:hAnsi="Consolas"/>
          <w:b/>
          <w:bCs/>
          <w:color w:val="1D4A3D"/>
          <w:sz w:val="15"/>
          <w:szCs w:val="15"/>
          <w:shd w:fill="DCEBE3" w:val="clear"/>
        </w:rPr>
        <w:t xml:space="preserve">  RQ3</w:t>
      </w:r>
    </w:p>
    <w:tbl>
      <w:tblPr>
        <w:tblW w:type="dxa" w:w="935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2100"/>
        <w:gridCol w:w="1850"/>
        <w:gridCol w:w="5400"/>
      </w:tblGrid>
      <w:tr>
        <w:trPr>
          <w:tblHeader/>
        </w:trPr>
        <w:tc>
          <w:tcPr>
            <w:tcW w:type="dxa" w:w="21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FIELD</w:t>
            </w:r>
          </w:p>
        </w:tc>
        <w:tc>
          <w:tcPr>
            <w:tcW w:type="dxa" w:w="185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TYPE</w:t>
            </w:r>
          </w:p>
        </w:tc>
        <w:tc>
          <w:tcPr>
            <w:tcW w:type="dxa" w:w="54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INSTRUCTION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Functional data reported?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yes/no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If no, skip the rest of this section entirely — don’t mark the remaining rows “not reported” one by one.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Type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checkbox, multi-select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4F5E58"/>
                <w:sz w:val="19"/>
                <w:szCs w:val="19"/>
              </w:rPr>
              <w:t xml:space="preserve">Check every type the study reports — many studies report more than one.</w:t>
            </w:r>
          </w:p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shotgun pathway/gene content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predicted (PICRUSt/PICRUSt2/Tax4Fun)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fecal metabolome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targeted SCFA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HMO-utilization assay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bile salt hydrolase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glycoside hydrolase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resistome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Direction of effect, per checked domain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4F5E58"/>
                <w:sz w:val="19"/>
                <w:szCs w:val="19"/>
              </w:rPr>
              <w:t xml:space="preserve">Same four values as Section E. One value per checked domain above, not one overall judgment call.</w:t>
            </w:r>
          </w:p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higher in breastfed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higher in formula-fed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 difference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not estimable</w:t>
            </w:r>
          </w:p>
        </w:tc>
      </w:tr>
    </w:tbl>
    <w:p>
      <w:pPr>
        <w:pStyle w:val="Heading2"/>
        <w:spacing w:after="120" w:before="420"/>
      </w:pPr>
      <w:r>
        <w:rPr>
          <w:rFonts w:ascii="Georgia" w:cs="Georgia" w:eastAsia="Georgia" w:hAnsi="Georgia"/>
          <w:b/>
          <w:bCs/>
          <w:color w:val="1D4A3D"/>
          <w:sz w:val="27"/>
          <w:szCs w:val="27"/>
        </w:rPr>
        <w:t xml:space="preserve">G.  </w:t>
      </w:r>
      <w:r>
        <w:rPr>
          <w:rFonts w:ascii="Georgia" w:cs="Georgia" w:eastAsia="Georgia" w:hAnsi="Georgia"/>
          <w:b/>
          <w:bCs/>
          <w:color w:val="1D2B26"/>
          <w:sz w:val="27"/>
          <w:szCs w:val="27"/>
        </w:rPr>
        <w:t xml:space="preserve">Covariates &amp; age bands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Feeds RQ6 (age/dose-response) and RQ7 (confounder adequacy).</w:t>
      </w:r>
      <w:r>
        <w:rPr>
          <w:rFonts w:ascii="Consolas" w:cs="Consolas" w:eastAsia="Consolas" w:hAnsi="Consolas"/>
          <w:b/>
          <w:bCs/>
          <w:color w:val="1D4A3D"/>
          <w:sz w:val="15"/>
          <w:szCs w:val="15"/>
          <w:shd w:fill="DCEBE3" w:val="clear"/>
        </w:rPr>
        <w:t xml:space="preserve">  RQ6 / RQ7</w:t>
      </w:r>
    </w:p>
    <w:tbl>
      <w:tblPr>
        <w:tblW w:type="dxa" w:w="935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2100"/>
        <w:gridCol w:w="1850"/>
        <w:gridCol w:w="5400"/>
      </w:tblGrid>
      <w:tr>
        <w:trPr>
          <w:tblHeader/>
        </w:trPr>
        <w:tc>
          <w:tcPr>
            <w:tcW w:type="dxa" w:w="21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FIELD</w:t>
            </w:r>
          </w:p>
        </w:tc>
        <w:tc>
          <w:tcPr>
            <w:tcW w:type="dxa" w:w="185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TYPE</w:t>
            </w:r>
          </w:p>
        </w:tc>
        <w:tc>
          <w:tcPr>
            <w:tcW w:type="dxa" w:w="54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INSTRUCTION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Age-stratified results?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yes/no + per-band findings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Use the review’s fixed age bands — 0–1, 1–3, 3–6, 6–12 mo — even if the study’s own timepoints don’t land exactly on a boundary; place each reported timepoint in the band it falls within.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Covariates adjusted for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checkbox, multi-select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4F5E58"/>
                <w:sz w:val="19"/>
                <w:szCs w:val="19"/>
              </w:rPr>
              <w:t xml:space="preserve">Check only what the study actually adjusted for statistically (e.g. as a covariate in a model) — reporting a variable descriptively in a baseline table without adjusting for it doesn’t count here.</w:t>
            </w:r>
          </w:p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delivery mode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antibiotic exposure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introduction of solids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geography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country income level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maternal factors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none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Adequacy of covariate measurement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free text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A short note, not a score — e.g. “antibiotic exposure self-reported by caregiver recall, no prescription-record confirmation.” This is descriptive input to RQ7, not a formal bias rating (that’s the Quality Assessment template).</w:t>
            </w:r>
          </w:p>
        </w:tc>
      </w:tr>
    </w:tbl>
    <w:p>
      <w:pPr>
        <w:pStyle w:val="Heading2"/>
        <w:spacing w:after="120" w:before="420"/>
      </w:pPr>
      <w:r>
        <w:rPr>
          <w:rFonts w:ascii="Georgia" w:cs="Georgia" w:eastAsia="Georgia" w:hAnsi="Georgia"/>
          <w:b/>
          <w:bCs/>
          <w:color w:val="1D4A3D"/>
          <w:sz w:val="27"/>
          <w:szCs w:val="27"/>
        </w:rPr>
        <w:t xml:space="preserve">H.  </w:t>
      </w:r>
      <w:r>
        <w:rPr>
          <w:rFonts w:ascii="Georgia" w:cs="Georgia" w:eastAsia="Georgia" w:hAnsi="Georgia"/>
          <w:b/>
          <w:bCs/>
          <w:color w:val="1D2B26"/>
          <w:sz w:val="27"/>
          <w:szCs w:val="27"/>
        </w:rPr>
        <w:t xml:space="preserve">Race, ethnicity, ancestry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Feeds RQ7 and RQ9. Recorded as four separate parts because how a study classified its participants is itself the data point — not a pre-specified subgroup analysis, and no effect estimate gets stratified by this unless that’s separately added before extraction begins.</w:t>
      </w:r>
      <w:r>
        <w:rPr>
          <w:rFonts w:ascii="Consolas" w:cs="Consolas" w:eastAsia="Consolas" w:hAnsi="Consolas"/>
          <w:b/>
          <w:bCs/>
          <w:color w:val="1D4A3D"/>
          <w:sz w:val="15"/>
          <w:szCs w:val="15"/>
          <w:shd w:fill="DCEBE3" w:val="clear"/>
        </w:rPr>
        <w:t xml:space="preserve">  RQ7 / RQ9</w:t>
      </w:r>
    </w:p>
    <w:tbl>
      <w:tblPr>
        <w:tblW w:type="dxa" w:w="935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2100"/>
        <w:gridCol w:w="1850"/>
        <w:gridCol w:w="5400"/>
      </w:tblGrid>
      <w:tr>
        <w:trPr>
          <w:tblHeader/>
        </w:trPr>
        <w:tc>
          <w:tcPr>
            <w:tcW w:type="dxa" w:w="21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FIELD</w:t>
            </w:r>
          </w:p>
        </w:tc>
        <w:tc>
          <w:tcPr>
            <w:tcW w:type="dxa" w:w="185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TYPE</w:t>
            </w:r>
          </w:p>
        </w:tc>
        <w:tc>
          <w:tcPr>
            <w:tcW w:type="dxa" w:w="54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INSTRUCTION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(a) Categories as reported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VERBATIM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The source’s own labels, exactly as printed — do not recode into a common scheme across studies, even if that would make the table tidier.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(b) Construct used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4F5E58"/>
                <w:sz w:val="19"/>
                <w:szCs w:val="19"/>
              </w:rPr>
              <w:t xml:space="preserve">Race is a social construct, not a biological one; ethnicity denotes traditions/lifestyle/language/diet/values; ancestry denotes genetic ancestry-informative-marker data. Don’t conflate race and ethnicity yourself even if the source does — pick “combined-or-conflated” when the source itself doesn’t distinguish them.</w:t>
            </w:r>
          </w:p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race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ethnicity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ancestry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combined-or-conflated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NOT REPORTED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(c) Ascertainment method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self-report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investigator-assigned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administrative-registry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genetic ancestry-informative markers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NOT REPORTED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(d) Analytic role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descriptive only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adjusted covariate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stratification variable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not used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NOT REPORTED</w:t>
            </w:r>
          </w:p>
        </w:tc>
      </w:tr>
    </w:tbl>
    <w:tbl>
      <w:tblPr>
        <w:tblW w:type="dxa" w:w="9350"/>
        <w:tblBorders>
          <w:top w:val="single" w:color="1D4A3D" w:sz="4"/>
          <w:left w:val="single" w:color="1D4A3D" w:sz="24"/>
          <w:bottom w:val="single" w:color="C9BFA6" w:sz="4"/>
          <w:right w:val="single" w:color="C9BFA6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D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D4A3D"/>
                <w:sz w:val="21"/>
                <w:szCs w:val="21"/>
              </w:rPr>
              <w:t xml:space="preserve">Never infer this field</w:t>
            </w:r>
          </w:p>
          <w:p>
            <w:pPr>
              <w:spacing w:after="0" w:before="0"/>
            </w:pPr>
            <w:r>
              <w:rPr>
                <w:rFonts w:ascii="Source Sans Pro" w:cs="Source Sans Pro" w:eastAsia="Source Sans Pro" w:hAnsi="Source Sans Pro"/>
                <w:color w:val="4F5E58"/>
                <w:sz w:val="19"/>
                <w:szCs w:val="19"/>
              </w:rPr>
              <w:t xml:space="preserve">Race, ethnicity, and ancestry are never inferred from country, cohort name, recruitment site, or the language a study is written in. If the study itself doesn’t state it, the answer is </w:t>
            </w:r>
            <w:r>
              <w:rPr>
                <w:rFonts w:ascii="Consolas" w:cs="Consolas" w:eastAsia="Consolas" w:hAnsi="Consolas"/>
                <w:color w:val="1D2B26"/>
                <w:sz w:val="18"/>
                <w:szCs w:val="18"/>
                <w:shd w:fill="E9F1EC" w:val="clear"/>
              </w:rPr>
              <w:t xml:space="preserve">NOT REPORTED</w:t>
            </w:r>
            <w:r>
              <w:rPr>
                <w:rFonts w:ascii="Source Sans Pro" w:cs="Source Sans Pro" w:eastAsia="Source Sans Pro" w:hAnsi="Source Sans Pro"/>
                <w:color w:val="4F5E58"/>
                <w:sz w:val="19"/>
                <w:szCs w:val="19"/>
              </w:rPr>
              <w:t xml:space="preserve"> — full stop, for all four parts.</w:t>
            </w:r>
          </w:p>
        </w:tc>
      </w:tr>
    </w:tbl>
    <w:p>
      <w:pPr>
        <w:pStyle w:val="Heading2"/>
        <w:spacing w:after="120" w:before="420"/>
      </w:pPr>
      <w:r>
        <w:rPr>
          <w:rFonts w:ascii="Georgia" w:cs="Georgia" w:eastAsia="Georgia" w:hAnsi="Georgia"/>
          <w:b/>
          <w:bCs/>
          <w:color w:val="1D4A3D"/>
          <w:sz w:val="27"/>
          <w:szCs w:val="27"/>
        </w:rPr>
        <w:t xml:space="preserve">I.  </w:t>
      </w:r>
      <w:r>
        <w:rPr>
          <w:rFonts w:ascii="Georgia" w:cs="Georgia" w:eastAsia="Georgia" w:hAnsi="Georgia"/>
          <w:b/>
          <w:bCs/>
          <w:color w:val="1D2B26"/>
          <w:sz w:val="27"/>
          <w:szCs w:val="27"/>
        </w:rPr>
        <w:t xml:space="preserve">Notes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Free-text audit trail — anything above that needed a judgment call gets its supporting quote here, so a second reviewer (or you, six months from now) can see why.</w:t>
      </w:r>
    </w:p>
    <w:tbl>
      <w:tblPr>
        <w:tblW w:type="dxa" w:w="935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2100"/>
        <w:gridCol w:w="1850"/>
        <w:gridCol w:w="5400"/>
      </w:tblGrid>
      <w:tr>
        <w:trPr>
          <w:tblHeader/>
        </w:trPr>
        <w:tc>
          <w:tcPr>
            <w:tcW w:type="dxa" w:w="21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FIELD</w:t>
            </w:r>
          </w:p>
        </w:tc>
        <w:tc>
          <w:tcPr>
            <w:tcW w:type="dxa" w:w="185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TYPE</w:t>
            </w:r>
          </w:p>
        </w:tc>
        <w:tc>
          <w:tcPr>
            <w:tcW w:type="dxa" w:w="54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INSTRUCTION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Verbatim quotes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free text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Paste the exact sentence(s) from the paper backing any field above where you had to interpret rather than transcribe — e.g. a borderline feeding-group classification, or a cohort-overlap flag with another included study.</w:t>
            </w:r>
          </w:p>
        </w:tc>
      </w:tr>
    </w:tbl>
    <w:p>
      <w:pPr>
        <w:pStyle w:val="Heading1"/>
        <w:pageBreakBefore/>
        <w:spacing w:after="100" w:before="500"/>
      </w:pPr>
      <w:r>
        <w:rPr>
          <w:rFonts w:ascii="Georgia" w:cs="Georgia" w:eastAsia="Georgia" w:hAnsi="Georgia"/>
          <w:b/>
          <w:bCs/>
          <w:color w:val="1D2B26"/>
          <w:sz w:val="34"/>
          <w:szCs w:val="34"/>
        </w:rPr>
        <w:t xml:space="preserve">Covidence Template Mapping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Sections A–I above are organized by what each field means, not by where Covidence's Extraction 1 template puts it. This maps them onto its five native panels — Identification, Methods, Population, Interventions, Outcomes — and specifies exactly what to add as custom fields where the defaults fall short.</w:t>
      </w:r>
    </w:p>
    <w:tbl>
      <w:tblPr>
        <w:tblW w:type="dxa" w:w="9350"/>
        <w:tblBorders>
          <w:top w:val="single" w:color="1D4A3D" w:sz="4"/>
          <w:left w:val="single" w:color="1D4A3D" w:sz="24"/>
          <w:bottom w:val="single" w:color="C9BFA6" w:sz="4"/>
          <w:right w:val="single" w:color="C9BFA6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D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D4A3D"/>
                <w:sz w:val="21"/>
                <w:szCs w:val="21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Source Sans Pro" w:cs="Source Sans Pro" w:eastAsia="Source Sans Pro" w:hAnsi="Source Sans Pro"/>
                <w:color w:val="4F5E58"/>
                <w:sz w:val="19"/>
                <w:szCs w:val="19"/>
              </w:rPr>
              <w:t xml:space="preserve">Methods and Population are specified below. Identification needs no changes (Section A's design/country/funding map onto it directly). Interventions and Outcomes, and the RoB 2 / ROBINS-I custom quality-assessment tools, are still to be drafted — Covidence's built-in QA preset is Risk of Bias 1, not RoB 2 or ROBINS-I, so both get built as custom tools rather than picked from the preset list.</w:t>
            </w:r>
          </w:p>
        </w:tc>
      </w:tr>
    </w:tbl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D2B26"/>
          <w:sz w:val="25"/>
          <w:szCs w:val="25"/>
        </w:rPr>
        <w:t xml:space="preserve">Methods — custom fields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Covidence's default Methods panel is just Study design + Group — no room for Section D, which is what RQ1 (method-dependence) turns on. Edit the default dropdown, then add five custom fields.</w:t>
      </w:r>
    </w:p>
    <w:tbl>
      <w:tblPr>
        <w:tblW w:type="dxa" w:w="935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2100"/>
        <w:gridCol w:w="1850"/>
        <w:gridCol w:w="5400"/>
      </w:tblGrid>
      <w:tr>
        <w:trPr>
          <w:tblHeader/>
        </w:trPr>
        <w:tc>
          <w:tcPr>
            <w:tcW w:type="dxa" w:w="21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FIELD</w:t>
            </w:r>
          </w:p>
        </w:tc>
        <w:tc>
          <w:tcPr>
            <w:tcW w:type="dxa" w:w="185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TYPE</w:t>
            </w:r>
          </w:p>
        </w:tc>
        <w:tc>
          <w:tcPr>
            <w:tcW w:type="dxa" w:w="54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INSTRUCTION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Study design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EDIT DEFAULT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4F5E58"/>
                <w:sz w:val="19"/>
                <w:szCs w:val="19"/>
              </w:rPr>
              <w:t xml:space="preserve">Covidence's built-in options are RCT-skewed by default — replace with the six values at left. This exact field is the quality-assessment branch point below — get the option list right before extraction starts.</w:t>
            </w:r>
          </w:p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RCT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non-randomized intervention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prospective cohort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retrospective cohort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cross-sectional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case-control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Sequencing method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16S rRNA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shotgun metagenomics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both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16S hypervariable region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e.g. “V3–V4”. Write N/A (not NOT REPORTED) if shotgun-only — it genuinely doesn't apply rather than being omitted.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Sequencing platform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e.g. Illumina MiSeq, Illumina NovaSeq, Ion PGM.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Bioinformatic pipeline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e.g. QIIME2/DADA2, Mothur, custom. Include version number if the study reports one.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Reference database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e.g. SILVA 138, Greengenes, RDP — and the version, since database version shifts taxonomic assignment.</w:t>
            </w:r>
          </w:p>
        </w:tc>
      </w:tr>
    </w:tbl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D2B26"/>
          <w:sz w:val="25"/>
          <w:szCs w:val="25"/>
        </w:rPr>
        <w:t xml:space="preserve">Population — custom fields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Covers Sections B, G, and H. Two fit notes before building this: the race/ethnicity/ancestry fields go under Additional data, not "Baseline characteristics" — that feature expects a numeric mean±SD per group and can't hold a categorical construct. And repurpose the default "Mean age ± SD" baseline characteristic to mean age at stool sampling, in months — not enrollment age in years — so extractors don't default to habit.</w:t>
      </w:r>
    </w:p>
    <w:tbl>
      <w:tblPr>
        <w:tblW w:type="dxa" w:w="935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2100"/>
        <w:gridCol w:w="1850"/>
        <w:gridCol w:w="5400"/>
      </w:tblGrid>
      <w:tr>
        <w:trPr>
          <w:tblHeader/>
        </w:trPr>
        <w:tc>
          <w:tcPr>
            <w:tcW w:type="dxa" w:w="21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FIELD</w:t>
            </w:r>
          </w:p>
        </w:tc>
        <w:tc>
          <w:tcPr>
            <w:tcW w:type="dxa" w:w="185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TYPE</w:t>
            </w:r>
          </w:p>
        </w:tc>
        <w:tc>
          <w:tcPr>
            <w:tcW w:type="dxa" w:w="5400"/>
            <w:shd w:fill="EFE9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4F5E58"/>
                <w:sz w:val="16"/>
                <w:szCs w:val="16"/>
              </w:rPr>
              <w:t xml:space="preserve">INSTRUCTION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Gestational age range / criteria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As reported, e.g. “≥37 weeks” or mean±SD — for the synthesis table, not a re-check of eligibility (already screened at full-text stage).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Infant age(s) at stool sampling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text, repeatable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List every timepoint reported, not just baseline — a longitudinal study feeds more than one age band below.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Delivery mode reported?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yes/no + breakdown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If yes, record vaginal vs. cesarean Ns.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Age-stratified results?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yes/no + per-band findings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Fixed bands: 0–1, 1–3, 3–6, 6–12 mo — place each reported timepoint in the band it falls within, even if it doesn't land exactly on a boundary.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Covariates adjusted for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checkbox, multi-select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4F5E58"/>
                <w:sz w:val="19"/>
                <w:szCs w:val="19"/>
              </w:rPr>
              <w:t xml:space="preserve">Only check what the study actually adjusted for statistically — reporting a variable descriptively in a baseline table without adjusting for it doesn't count.</w:t>
            </w:r>
          </w:p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delivery mode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antibiotic exposure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introduction of solids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geography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country income level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maternal factors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none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Adequacy of covariate measurement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free text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Short note, not a score — e.g. “antibiotic exposure self-reported by caregiver recall, no prescription-record confirmation.”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(a) Race/ethnicity/ancestry — categories as reported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VERBATIM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text, custom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color w:val="4F5E58"/>
                <w:sz w:val="19"/>
                <w:szCs w:val="19"/>
              </w:rPr>
              <w:t xml:space="preserve">Source's own labels, exactly as printed — do not recode into a common scheme across studies.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(b) Race/ethnicity/ancestry — construct used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race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ethnicity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ancestry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combined-or-conflated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NOT REPORTED</w:t>
            </w:r>
          </w:p>
        </w:tc>
      </w:tr>
      <w:tr>
        <w:trPr>
          <w:cantSplit w:val="off"/>
        </w:trPr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(c) Race/ethnicity/ancestry — ascertainment method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self-report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investigator-assigned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administrative-registry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genetic ancestry-informative markers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NOT REPORTED</w:t>
            </w:r>
          </w:p>
        </w:tc>
      </w:tr>
      <w:tr>
        <w:trPr>
          <w:cantSplit w:val="off"/>
        </w:trPr>
        <w:tc>
          <w:tcPr>
            <w:tcW w:type="dxa" w:w="21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(d) Race/ethnicity/ancestry — analytic role</w:t>
            </w:r>
            <w:r>
              <w:rPr>
                <w:b/>
                <w:bCs/>
                <w:color w:val="A8452F"/>
                <w:sz w:val="14"/>
                <w:szCs w:val="14"/>
                <w:shd w:fill="F6E4DE" w:val="clear"/>
              </w:rPr>
              <w:t xml:space="preserve">  CUSTOM</w:t>
            </w:r>
          </w:p>
        </w:tc>
        <w:tc>
          <w:tcPr>
            <w:tcW w:type="dxa" w:w="185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D4A3D"/>
                <w:sz w:val="17"/>
                <w:szCs w:val="17"/>
                <w:shd w:fill="E9F1EC" w:val="clear"/>
              </w:rPr>
              <w:t xml:space="preserve">dropdown</w:t>
            </w:r>
          </w:p>
        </w:tc>
        <w:tc>
          <w:tcPr>
            <w:tcW w:type="dxa" w:w="5400"/>
            <w:shd w:fill="FBF9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descriptive only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adjusted covariate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stratification variable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not used</w:t>
            </w:r>
            <w:r>
              <w:rPr>
                <w:color w:val="9AA79F"/>
                <w:sz w:val="19"/>
                <w:szCs w:val="19"/>
              </w:rPr>
              <w:t xml:space="preserve">  ·  </w:t>
            </w:r>
            <w:r>
              <w:rPr>
                <w:rFonts w:ascii="Consolas" w:cs="Consolas" w:eastAsia="Consolas" w:hAnsi="Consolas"/>
                <w:color w:val="1D4A3D"/>
                <w:sz w:val="19"/>
                <w:szCs w:val="19"/>
                <w:shd w:fill="E9F1EC" w:val="clear"/>
              </w:rPr>
              <w:t xml:space="preserve">NOT REPORTED</w:t>
            </w:r>
          </w:p>
        </w:tc>
      </w:tr>
    </w:tbl>
    <w:p>
      <w:pPr>
        <w:pStyle w:val="Heading1"/>
        <w:pageBreakBefore/>
        <w:spacing w:after="100" w:before="500"/>
      </w:pPr>
      <w:r>
        <w:rPr>
          <w:rFonts w:ascii="Georgia" w:cs="Georgia" w:eastAsia="Georgia" w:hAnsi="Georgia"/>
          <w:b/>
          <w:bCs/>
          <w:color w:val="1D2B26"/>
          <w:sz w:val="34"/>
          <w:szCs w:val="34"/>
        </w:rPr>
        <w:t xml:space="preserve">Quality Assessment Template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A separate template from data extraction above — built and completed independently, matching Section A’s study-design field.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D2B26"/>
          <w:sz w:val="25"/>
          <w:szCs w:val="25"/>
        </w:rPr>
        <w:t xml:space="preserve">Branch by design</w:t>
      </w:r>
    </w:p>
    <w:p>
      <w:pPr>
        <w:spacing w:after="100" w:before="0"/>
      </w:pPr>
      <w:r>
        <w:rPr>
          <w:rFonts w:ascii="Source Sans Pro" w:cs="Source Sans Pro" w:eastAsia="Source Sans Pro" w:hAnsi="Source Sans Pro"/>
          <w:color w:val="4F5E58"/>
          <w:sz w:val="19"/>
          <w:szCs w:val="19"/>
        </w:rPr>
        <w:t xml:space="preserve">If Section A design = </w:t>
      </w:r>
      <w:r>
        <w:rPr>
          <w:rFonts w:ascii="Source Sans Pro" w:cs="Source Sans Pro" w:eastAsia="Source Sans Pro" w:hAnsi="Source Sans Pro"/>
          <w:b/>
          <w:bCs/>
          <w:color w:val="1D2B26"/>
          <w:sz w:val="19"/>
          <w:szCs w:val="19"/>
        </w:rPr>
        <w:t xml:space="preserve">RCT / non-randomized intervention</w:t>
      </w:r>
      <w:r>
        <w:rPr>
          <w:rFonts w:ascii="Source Sans Pro" w:cs="Source Sans Pro" w:eastAsia="Source Sans Pro" w:hAnsi="Source Sans Pro"/>
          <w:color w:val="4F5E58"/>
          <w:sz w:val="19"/>
          <w:szCs w:val="19"/>
        </w:rPr>
        <w:t xml:space="preserve">  →  use RoB 2 (five domains below).</w:t>
      </w:r>
    </w:p>
    <w:p>
      <w:pPr>
        <w:spacing w:after="200" w:before="0"/>
      </w:pPr>
      <w:r>
        <w:rPr>
          <w:rFonts w:ascii="Source Sans Pro" w:cs="Source Sans Pro" w:eastAsia="Source Sans Pro" w:hAnsi="Source Sans Pro"/>
          <w:color w:val="4F5E58"/>
          <w:sz w:val="19"/>
          <w:szCs w:val="19"/>
        </w:rPr>
        <w:t xml:space="preserve">If Section A design = </w:t>
      </w:r>
      <w:r>
        <w:rPr>
          <w:rFonts w:ascii="Source Sans Pro" w:cs="Source Sans Pro" w:eastAsia="Source Sans Pro" w:hAnsi="Source Sans Pro"/>
          <w:b/>
          <w:bCs/>
          <w:color w:val="1D2B26"/>
          <w:sz w:val="19"/>
          <w:szCs w:val="19"/>
        </w:rPr>
        <w:t xml:space="preserve">Cohort / cross-sectional / case-control</w:t>
      </w:r>
      <w:r>
        <w:rPr>
          <w:rFonts w:ascii="Source Sans Pro" w:cs="Source Sans Pro" w:eastAsia="Source Sans Pro" w:hAnsi="Source Sans Pro"/>
          <w:color w:val="4F5E58"/>
          <w:sz w:val="19"/>
          <w:szCs w:val="19"/>
        </w:rPr>
        <w:t xml:space="preserve">  →  use ROBINS-I (seven domains below).</w:t>
      </w:r>
    </w:p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D2B26"/>
          <w:sz w:val="25"/>
          <w:szCs w:val="25"/>
        </w:rPr>
        <w:t xml:space="preserve">RoB 2 — five domains</w:t>
      </w:r>
    </w:p>
    <w:tbl>
      <w:tblPr>
        <w:tblW w:type="dxa" w:w="940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600"/>
        <w:gridCol w:w="3800"/>
        <w:gridCol w:w="5000"/>
      </w:tblGrid>
      <w:tr>
        <w:trPr>
          <w:tblHeader/>
        </w:trPr>
        <w:tc>
          <w:tcPr>
            <w:tcW w:type="dxa" w:w="600"/>
            <w:shd w:fill="EFE9D8" w:val="clear"/>
          </w:tcPr>
          <w:p>
            <w:r>
              <w:rPr>
                <w:b/>
                <w:bCs/>
                <w:color w:val="4F5E58"/>
                <w:sz w:val="16"/>
                <w:szCs w:val="16"/>
              </w:rPr>
              <w:t xml:space="preserve">#</w:t>
            </w:r>
          </w:p>
        </w:tc>
        <w:tc>
          <w:tcPr>
            <w:tcW w:type="dxa" w:w="3800"/>
            <w:shd w:fill="EFE9D8" w:val="clear"/>
          </w:tcPr>
          <w:p>
            <w:r>
              <w:rPr>
                <w:b/>
                <w:bCs/>
                <w:color w:val="4F5E58"/>
                <w:sz w:val="16"/>
                <w:szCs w:val="16"/>
              </w:rPr>
              <w:t xml:space="preserve">DOMAIN</w:t>
            </w:r>
          </w:p>
        </w:tc>
        <w:tc>
          <w:tcPr>
            <w:tcW w:type="dxa" w:w="5000"/>
            <w:shd w:fill="EFE9D8" w:val="clear"/>
          </w:tcPr>
          <w:p>
            <w:r>
              <w:rPr>
                <w:b/>
                <w:bCs/>
                <w:color w:val="4F5E58"/>
                <w:sz w:val="16"/>
                <w:szCs w:val="16"/>
              </w:rPr>
              <w:t xml:space="preserve">RATING SCALE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A3D"/>
              </w:rPr>
              <w:t xml:space="preserve">1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Randomization process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5E58"/>
                <w:sz w:val="17"/>
                <w:szCs w:val="17"/>
              </w:rPr>
              <w:t xml:space="preserve">Low · Some concerns · High</w:t>
            </w:r>
          </w:p>
        </w:tc>
      </w:tr>
      <w:tr>
        <w:tc>
          <w:tcPr>
            <w:tcW w:type="dxa" w:w="6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A3D"/>
              </w:rPr>
              <w:t xml:space="preserve">2</w:t>
            </w:r>
          </w:p>
        </w:tc>
        <w:tc>
          <w:tcPr>
            <w:tcW w:type="dxa" w:w="38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Deviations from intended interventions</w:t>
            </w:r>
          </w:p>
        </w:tc>
        <w:tc>
          <w:tcPr>
            <w:tcW w:type="dxa" w:w="50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5E58"/>
                <w:sz w:val="17"/>
                <w:szCs w:val="17"/>
              </w:rPr>
              <w:t xml:space="preserve">Low · Some concerns · High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A3D"/>
              </w:rPr>
              <w:t xml:space="preserve">3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Missing outcome data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5E58"/>
                <w:sz w:val="17"/>
                <w:szCs w:val="17"/>
              </w:rPr>
              <w:t xml:space="preserve">Low · Some concerns · High</w:t>
            </w:r>
          </w:p>
        </w:tc>
      </w:tr>
      <w:tr>
        <w:tc>
          <w:tcPr>
            <w:tcW w:type="dxa" w:w="6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A3D"/>
              </w:rPr>
              <w:t xml:space="preserve">4</w:t>
            </w:r>
          </w:p>
        </w:tc>
        <w:tc>
          <w:tcPr>
            <w:tcW w:type="dxa" w:w="38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Measurement of the outcome</w:t>
            </w:r>
          </w:p>
        </w:tc>
        <w:tc>
          <w:tcPr>
            <w:tcW w:type="dxa" w:w="50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5E58"/>
                <w:sz w:val="17"/>
                <w:szCs w:val="17"/>
              </w:rPr>
              <w:t xml:space="preserve">Low · Some concerns · High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A3D"/>
              </w:rPr>
              <w:t xml:space="preserve">5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Selection of the reported result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5E58"/>
                <w:sz w:val="17"/>
                <w:szCs w:val="17"/>
              </w:rPr>
              <w:t xml:space="preserve">Low · Some concerns · High</w:t>
            </w:r>
          </w:p>
        </w:tc>
      </w:tr>
    </w:tbl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D2B26"/>
          <w:sz w:val="25"/>
          <w:szCs w:val="25"/>
        </w:rPr>
        <w:t xml:space="preserve">ROBINS-I — seven domains</w:t>
      </w:r>
    </w:p>
    <w:tbl>
      <w:tblPr>
        <w:tblW w:type="dxa" w:w="9400"/>
        <w:tblBorders>
          <w:top w:val="single" w:color="C9BFA6" w:sz="4"/>
          <w:left w:val="single" w:color="C9BFA6" w:sz="4"/>
          <w:bottom w:val="single" w:color="C9BFA6" w:sz="4"/>
          <w:right w:val="single" w:color="C9BFA6" w:sz="4"/>
          <w:insideH w:val="single" w:color="E6DFC9" w:sz="2"/>
          <w:insideV w:val="single" w:color="E6DFC9" w:sz="2"/>
        </w:tblBorders>
      </w:tblPr>
      <w:tblGrid>
        <w:gridCol w:w="600"/>
        <w:gridCol w:w="3800"/>
        <w:gridCol w:w="5000"/>
      </w:tblGrid>
      <w:tr>
        <w:trPr>
          <w:tblHeader/>
        </w:trPr>
        <w:tc>
          <w:tcPr>
            <w:tcW w:type="dxa" w:w="600"/>
            <w:shd w:fill="EFE9D8" w:val="clear"/>
          </w:tcPr>
          <w:p>
            <w:r>
              <w:rPr>
                <w:b/>
                <w:bCs/>
                <w:color w:val="4F5E58"/>
                <w:sz w:val="16"/>
                <w:szCs w:val="16"/>
              </w:rPr>
              <w:t xml:space="preserve">#</w:t>
            </w:r>
          </w:p>
        </w:tc>
        <w:tc>
          <w:tcPr>
            <w:tcW w:type="dxa" w:w="3800"/>
            <w:shd w:fill="EFE9D8" w:val="clear"/>
          </w:tcPr>
          <w:p>
            <w:r>
              <w:rPr>
                <w:b/>
                <w:bCs/>
                <w:color w:val="4F5E58"/>
                <w:sz w:val="16"/>
                <w:szCs w:val="16"/>
              </w:rPr>
              <w:t xml:space="preserve">DOMAIN</w:t>
            </w:r>
          </w:p>
        </w:tc>
        <w:tc>
          <w:tcPr>
            <w:tcW w:type="dxa" w:w="5000"/>
            <w:shd w:fill="EFE9D8" w:val="clear"/>
          </w:tcPr>
          <w:p>
            <w:r>
              <w:rPr>
                <w:b/>
                <w:bCs/>
                <w:color w:val="4F5E58"/>
                <w:sz w:val="16"/>
                <w:szCs w:val="16"/>
              </w:rPr>
              <w:t xml:space="preserve">RATING SCALE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A3D"/>
              </w:rPr>
              <w:t xml:space="preserve">1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Confounding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5E58"/>
                <w:sz w:val="17"/>
                <w:szCs w:val="17"/>
              </w:rPr>
              <w:t xml:space="preserve">Low · Moderate · Serious · Critical · No info</w:t>
            </w:r>
          </w:p>
        </w:tc>
      </w:tr>
      <w:tr>
        <w:tc>
          <w:tcPr>
            <w:tcW w:type="dxa" w:w="6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A3D"/>
              </w:rPr>
              <w:t xml:space="preserve">2</w:t>
            </w:r>
          </w:p>
        </w:tc>
        <w:tc>
          <w:tcPr>
            <w:tcW w:type="dxa" w:w="38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Selection of participants</w:t>
            </w:r>
          </w:p>
        </w:tc>
        <w:tc>
          <w:tcPr>
            <w:tcW w:type="dxa" w:w="50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5E58"/>
                <w:sz w:val="17"/>
                <w:szCs w:val="17"/>
              </w:rPr>
              <w:t xml:space="preserve">Low · Moderate · Serious · Critical · No info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A3D"/>
              </w:rPr>
              <w:t xml:space="preserve">3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Classification of exposures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5E58"/>
                <w:sz w:val="17"/>
                <w:szCs w:val="17"/>
              </w:rPr>
              <w:t xml:space="preserve">Low · Moderate · Serious · Critical · No info</w:t>
            </w:r>
          </w:p>
        </w:tc>
      </w:tr>
      <w:tr>
        <w:tc>
          <w:tcPr>
            <w:tcW w:type="dxa" w:w="6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A3D"/>
              </w:rPr>
              <w:t xml:space="preserve">4</w:t>
            </w:r>
          </w:p>
        </w:tc>
        <w:tc>
          <w:tcPr>
            <w:tcW w:type="dxa" w:w="38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Deviations from intended exposures</w:t>
            </w:r>
          </w:p>
        </w:tc>
        <w:tc>
          <w:tcPr>
            <w:tcW w:type="dxa" w:w="50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5E58"/>
                <w:sz w:val="17"/>
                <w:szCs w:val="17"/>
              </w:rPr>
              <w:t xml:space="preserve">Low · Moderate · Serious · Critical · No info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A3D"/>
              </w:rPr>
              <w:t xml:space="preserve">5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Missing data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5E58"/>
                <w:sz w:val="17"/>
                <w:szCs w:val="17"/>
              </w:rPr>
              <w:t xml:space="preserve">Low · Moderate · Serious · Critical · No info</w:t>
            </w:r>
          </w:p>
        </w:tc>
      </w:tr>
      <w:tr>
        <w:tc>
          <w:tcPr>
            <w:tcW w:type="dxa" w:w="6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A3D"/>
              </w:rPr>
              <w:t xml:space="preserve">6</w:t>
            </w:r>
          </w:p>
        </w:tc>
        <w:tc>
          <w:tcPr>
            <w:tcW w:type="dxa" w:w="38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Measurement of outcomes</w:t>
            </w:r>
          </w:p>
        </w:tc>
        <w:tc>
          <w:tcPr>
            <w:tcW w:type="dxa" w:w="5000"/>
            <w:shd w:fill="FBF9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5E58"/>
                <w:sz w:val="17"/>
                <w:szCs w:val="17"/>
              </w:rPr>
              <w:t xml:space="preserve">Low · Moderate · Serious · Critical · No info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A3D"/>
              </w:rPr>
              <w:t xml:space="preserve">7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D2B26"/>
                <w:sz w:val="19"/>
                <w:szCs w:val="19"/>
              </w:rPr>
              <w:t xml:space="preserve">Selection of the reported result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5E58"/>
                <w:sz w:val="17"/>
                <w:szCs w:val="17"/>
              </w:rPr>
              <w:t xml:space="preserve">Low · Moderate · Serious · Critical · No info</w:t>
            </w:r>
          </w:p>
        </w:tc>
      </w:tr>
    </w:tbl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D2B26"/>
          <w:sz w:val="25"/>
          <w:szCs w:val="25"/>
        </w:rPr>
        <w:t xml:space="preserve">Microbiome-specific methods checklist</w:t>
      </w:r>
    </w:p>
    <w:p>
      <w:pPr>
        <w:spacing w:after="160"/>
      </w:pPr>
      <w:r>
        <w:rPr>
          <w:i/>
          <w:iCs/>
          <w:color w:val="4F5E58"/>
          <w:sz w:val="19"/>
          <w:szCs w:val="19"/>
        </w:rPr>
        <w:t xml:space="preserve">Supplements whichever tool above was used — not a replacement for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D2B26"/>
          <w:sz w:val="19"/>
          <w:szCs w:val="19"/>
        </w:rPr>
        <w:t xml:space="preserve">Sample collection and storage method — </w:t>
      </w:r>
      <w:r>
        <w:rPr>
          <w:color w:val="4F5E58"/>
          <w:sz w:val="19"/>
          <w:szCs w:val="19"/>
        </w:rPr>
        <w:t xml:space="preserve">e.g. temperature, time-to-freeze, preservation buffer.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D2B26"/>
          <w:sz w:val="19"/>
          <w:szCs w:val="19"/>
        </w:rPr>
        <w:t xml:space="preserve">DNA extraction method — </w:t>
      </w:r>
      <w:r>
        <w:rPr>
          <w:color w:val="4F5E58"/>
          <w:sz w:val="19"/>
          <w:szCs w:val="19"/>
        </w:rPr>
        <w:t xml:space="preserve">kit and manufacturer, bead-beating or other lysis step.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D2B26"/>
          <w:sz w:val="19"/>
          <w:szCs w:val="19"/>
        </w:rPr>
        <w:t xml:space="preserve">Sequencing depth reported? — </w:t>
      </w:r>
      <w:r>
        <w:rPr>
          <w:color w:val="4F5E58"/>
          <w:sz w:val="19"/>
          <w:szCs w:val="19"/>
        </w:rPr>
        <w:t xml:space="preserve">reads/sample, before and after quality filtering if both are given.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D2B26"/>
          <w:sz w:val="19"/>
          <w:szCs w:val="19"/>
        </w:rPr>
        <w:t xml:space="preserve">Negative/positive contamination controls used? — </w:t>
      </w:r>
      <w:r>
        <w:rPr>
          <w:color w:val="4F5E58"/>
          <w:sz w:val="19"/>
          <w:szCs w:val="19"/>
        </w:rPr>
        <w:t xml:space="preserve">extraction blanks, mock communities.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D2B26"/>
          <w:sz w:val="19"/>
          <w:szCs w:val="19"/>
        </w:rPr>
        <w:t xml:space="preserve">Compositional-data handling reported? — </w:t>
      </w:r>
      <w:r>
        <w:rPr>
          <w:color w:val="4F5E58"/>
          <w:sz w:val="19"/>
          <w:szCs w:val="19"/>
        </w:rPr>
        <w:t xml:space="preserve">e.g. rarefaction, CLR transform, or another explicit normalization step.</w:t>
      </w:r>
    </w:p>
    <w:p>
      <w:pPr>
        <w:pBdr>
          <w:bottom w:val="single" w:color="C9BFA6" w:sz="6" w:space="1"/>
        </w:pBdr>
        <w:spacing w:after="60" w:before="60"/>
      </w:pPr>
      <w:r>
        <w:t xml:space="preserve"/>
      </w:r>
    </w:p>
    <w:p>
      <w:pPr>
        <w:spacing w:after="0" w:before="0"/>
      </w:pPr>
      <w:r>
        <w:rPr>
          <w:rFonts w:ascii="Source Sans Pro" w:cs="Source Sans Pro" w:eastAsia="Source Sans Pro" w:hAnsi="Source Sans Pro"/>
          <w:i/>
          <w:iCs/>
          <w:color w:val="8A978F"/>
          <w:sz w:val="16"/>
          <w:szCs w:val="16"/>
        </w:rPr>
        <w:t xml:space="preserve">Built from protocol.md §Supporting protocol elements (“Data extraction,” “Race, ethnicity, and ancestry,” “Risk of bias”) and the Structured PECO / Objectives / Research Questions sections. Covidence review 818465 · PROSPERO CRD420261485879.</w:t>
      </w:r>
    </w:p>
    <w:sectPr>
      <w:headerReference w:type="default" r:id="rId6"/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79F"/>
        <w:sz w:val="15"/>
        <w:szCs w:val="15"/>
      </w:rPr>
      <w:t xml:space="preserve">Page </w:t>
    </w:r>
    <w:r>
      <w:rPr>
        <w:color w:val="9AA79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AA79F"/>
        <w:sz w:val="15"/>
        <w:szCs w:val="15"/>
      </w:rPr>
      <w:t xml:space="preserve"> of </w:t>
    </w:r>
    <w:r>
      <w:rPr>
        <w:color w:val="9AA79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ource Sans Pro" w:cs="Source Sans Pro" w:eastAsia="Source Sans Pro" w:hAnsi="Source Sans Pro"/>
        <w:color w:val="9AA79F"/>
        <w:sz w:val="15"/>
        <w:szCs w:val="15"/>
      </w:rPr>
      <w:t xml:space="preserve">Infant Microbiome Codebook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Pro" w:cs="Source Sans Pro" w:eastAsia="Source Sans Pro" w:hAnsi="Source Sans Pro"/>
        <w:color w:val="1D2B26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Georgia" w:cs="Georgia" w:eastAsia="Georgia" w:hAnsi="Georgia"/>
      <w:b/>
      <w:bCs/>
      <w:color w:val="1D2B2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Georgia" w:cs="Georgia" w:eastAsia="Georgia" w:hAnsi="Georgia"/>
      <w:b/>
      <w:bCs/>
      <w:color w:val="1D2B2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Georgia" w:cs="Georgia" w:eastAsia="Georgia" w:hAnsi="Georgia"/>
      <w:b/>
      <w:bCs/>
      <w:color w:val="1D4A3D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2026-10-15T18:30:00.480Z</dcterms:created>
  <dcterms:modified xsi:type="dcterms:W3CDTF">2026-10-15T18:30:00.486Z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