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D6B5E"/>
          <w:spacing w:val="40"/>
          <w:sz w:val="17"/>
          <w:szCs w:val="17"/>
        </w:rPr>
        <w:t xml:space="preserve">STANDARD OPERATING PROCEDURE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COA Filing and Lot Release</w:t>
      </w:r>
    </w:p>
    <w:tbl>
      <w:tblPr>
        <w:tblW w:type="dxa" w:w="10000"/>
        <w:tblBorders>
          <w:top w:val="single" w:color="1A1A1A" w:sz="8"/>
          <w:left w:val="single" w:color="BFC9C4" w:sz="4"/>
          <w:bottom w:val="single" w:color="1A1A1A" w:sz="8"/>
          <w:right w:val="single" w:color="BFC9C4" w:sz="4"/>
          <w:insideH w:val="single" w:color="BFC9C4" w:sz="4"/>
          <w:insideV w:val="single" w:color="BFC9C4" w:sz="4"/>
        </w:tblBorders>
      </w:tblPr>
      <w:tblGrid>
        <w:gridCol w:w="1900"/>
        <w:gridCol w:w="3200"/>
        <w:gridCol w:w="1700"/>
        <w:gridCol w:w="3200"/>
      </w:tblGrid>
      <w:tr>
        <w:tc>
          <w:tcPr>
            <w:tcW w:type="dxa" w:w="1900"/>
            <w:shd w:fill="EE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SOP-002</w:t>
            </w:r>
          </w:p>
        </w:tc>
        <w:tc>
          <w:tcPr>
            <w:tcW w:type="dxa" w:w="1700"/>
            <w:shd w:fill="EE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Revision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1.0  (initial issue)</w:t>
            </w:r>
          </w:p>
        </w:tc>
      </w:tr>
      <w:tr>
        <w:tc>
          <w:tcPr>
            <w:tcW w:type="dxa" w:w="1900"/>
            <w:shd w:fill="EE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Title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COA Filing and Lot Release</w:t>
            </w:r>
          </w:p>
        </w:tc>
        <w:tc>
          <w:tcPr>
            <w:tcW w:type="dxa" w:w="1700"/>
            <w:shd w:fill="EE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______________</w:t>
            </w:r>
          </w:p>
        </w:tc>
      </w:tr>
      <w:tr>
        <w:tc>
          <w:tcPr>
            <w:tcW w:type="dxa" w:w="1900"/>
            <w:shd w:fill="EE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Process owner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Melissa Ibrahim</w:t>
            </w:r>
          </w:p>
        </w:tc>
        <w:tc>
          <w:tcPr>
            <w:tcW w:type="dxa" w:w="1700"/>
            <w:shd w:fill="EE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Ammre Barakat</w:t>
            </w:r>
          </w:p>
        </w:tc>
      </w:tr>
      <w:tr>
        <w:tc>
          <w:tcPr>
            <w:tcW w:type="dxa" w:w="1900"/>
            <w:shd w:fill="EE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Entity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8486 Ventures LLC</w:t>
            </w:r>
          </w:p>
        </w:tc>
        <w:tc>
          <w:tcPr>
            <w:tcW w:type="dxa" w:w="1700"/>
            <w:shd w:fill="EE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Facility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Oakland, California</w:t>
            </w:r>
          </w:p>
        </w:tc>
      </w:tr>
    </w:tbl>
    <w:p>
      <w:pPr>
        <w:spacing w:after="20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  Purpose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 define how a Certificate of Analysis is verified, filed, and used to move a lot from quarantine to released — and who is permitted to make that decision. The COA is the evidence that backs every unit shipped. If it cannot be produced on demand for a given lot, that lot should never have shipped.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  Scope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Applies to every Certificate of Analysis received from ILS Labs or any other testing laboratory, for every lot created under SOP-001.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  Responsibilities</w:t>
      </w:r>
    </w:p>
    <w:tbl>
      <w:tblPr>
        <w:tblW w:type="dxa" w:w="10000"/>
        <w:tblBorders>
          <w:top w:val="single" w:color="BFC9C4" w:sz="4"/>
          <w:left w:val="single" w:color="BFC9C4" w:sz="4"/>
          <w:bottom w:val="single" w:color="BFC9C4" w:sz="4"/>
          <w:right w:val="single" w:color="BFC9C4" w:sz="4"/>
          <w:insideH w:val="single" w:color="BFC9C4" w:sz="4"/>
          <w:insideV w:val="single" w:color="BFC9C4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shd w:fill="EE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Role</w:t>
            </w:r>
          </w:p>
        </w:tc>
        <w:tc>
          <w:tcPr>
            <w:tcW w:type="dxa" w:w="7400"/>
            <w:shd w:fill="EE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Melissa Ibrahim</w:t>
            </w:r>
          </w:p>
        </w:tc>
        <w:tc>
          <w:tcPr>
            <w:tcW w:type="dxa" w:w="7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Receives and verifies the COA, files it, and prepares the release recommendation.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Ammre Barakat</w:t>
            </w:r>
          </w:p>
        </w:tc>
        <w:tc>
          <w:tcPr>
            <w:tcW w:type="dxa" w:w="7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Makes the release decision. Only the approver may change a lot status to RELEASED.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Wisam Ibrahim</w:t>
            </w:r>
          </w:p>
        </w:tc>
        <w:tc>
          <w:tcPr>
            <w:tcW w:type="dxa" w:w="7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May not pick, pack, or ship from a lot that is not RELEASED.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  Procedure</w:t>
      </w:r>
    </w:p>
    <w:p>
      <w:pPr>
        <w:spacing w:after="60" w:before="140" w:line="276"/>
        <w:ind w:left="604" w:hanging="604"/>
      </w:pPr>
      <w:r>
        <w:rPr>
          <w:rFonts w:ascii="Calibri" w:cs="Calibri" w:eastAsia="Calibri" w:hAnsi="Calibri"/>
          <w:b/>
          <w:bCs/>
          <w:color w:val="0D6B5E"/>
          <w:sz w:val="21"/>
          <w:szCs w:val="21"/>
        </w:rPr>
        <w:t xml:space="preserve">4.1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Retrieve the COA when notification arrives.</w:t>
      </w:r>
    </w:p>
    <w:p>
      <w:pPr>
        <w:spacing w:after="60" w:line="264"/>
        <w:ind w:left="1036" w:hanging="288"/>
      </w:pPr>
      <w:r>
        <w:rPr>
          <w:rFonts w:ascii="Calibri" w:cs="Calibri" w:eastAsia="Calibri" w:hAnsi="Calibri"/>
          <w:color w:val="5F6B66"/>
          <w:sz w:val="21"/>
          <w:szCs w:val="21"/>
        </w:rPr>
        <w:t xml:space="preserve">–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ILS Labs sends a Certificate of Analysis Available notice to the company mailbox. These are labeled Quality COA in Gmail.</w:t>
      </w:r>
    </w:p>
    <w:p>
      <w:pPr>
        <w:spacing w:after="60" w:line="264"/>
        <w:ind w:left="1036" w:hanging="288"/>
      </w:pPr>
      <w:r>
        <w:rPr>
          <w:rFonts w:ascii="Calibri" w:cs="Calibri" w:eastAsia="Calibri" w:hAnsi="Calibri"/>
          <w:color w:val="5F6B66"/>
          <w:sz w:val="21"/>
          <w:szCs w:val="21"/>
        </w:rPr>
        <w:t xml:space="preserve">–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Download the PDF from the portal. Do not rely on the email body — the PDF is the record.</w:t>
      </w:r>
    </w:p>
    <w:p>
      <w:pPr>
        <w:spacing w:after="60" w:before="140" w:line="276"/>
        <w:ind w:left="604" w:hanging="604"/>
      </w:pPr>
      <w:r>
        <w:rPr>
          <w:rFonts w:ascii="Calibri" w:cs="Calibri" w:eastAsia="Calibri" w:hAnsi="Calibri"/>
          <w:b/>
          <w:bCs/>
          <w:color w:val="0D6B5E"/>
          <w:sz w:val="21"/>
          <w:szCs w:val="21"/>
        </w:rPr>
        <w:t xml:space="preserve">4.2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Verify the COA matches the lot.</w:t>
      </w:r>
    </w:p>
    <w:p>
      <w:pPr>
        <w:spacing w:after="60" w:line="264"/>
        <w:ind w:left="1036" w:hanging="288"/>
      </w:pPr>
      <w:r>
        <w:rPr>
          <w:rFonts w:ascii="Calibri" w:cs="Calibri" w:eastAsia="Calibri" w:hAnsi="Calibri"/>
          <w:color w:val="5F6B66"/>
          <w:sz w:val="21"/>
          <w:szCs w:val="21"/>
        </w:rPr>
        <w:t xml:space="preserve">–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The lot number on the certificate must match the NexPhase lot number exactly. GHKCU50-2605-01 and GHKCU50-2605-1 are not the same lot.</w:t>
      </w:r>
    </w:p>
    <w:p>
      <w:pPr>
        <w:spacing w:after="60" w:line="264"/>
        <w:ind w:left="1036" w:hanging="288"/>
      </w:pPr>
      <w:r>
        <w:rPr>
          <w:rFonts w:ascii="Calibri" w:cs="Calibri" w:eastAsia="Calibri" w:hAnsi="Calibri"/>
          <w:color w:val="5F6B66"/>
          <w:sz w:val="21"/>
          <w:szCs w:val="21"/>
        </w:rPr>
        <w:t xml:space="preserve">–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The product name must match the catalog product.</w:t>
      </w:r>
    </w:p>
    <w:p>
      <w:pPr>
        <w:spacing w:after="60" w:line="264"/>
        <w:ind w:left="1036" w:hanging="288"/>
      </w:pPr>
      <w:r>
        <w:rPr>
          <w:rFonts w:ascii="Calibri" w:cs="Calibri" w:eastAsia="Calibri" w:hAnsi="Calibri"/>
          <w:color w:val="5F6B66"/>
          <w:sz w:val="21"/>
          <w:szCs w:val="21"/>
        </w:rPr>
        <w:t xml:space="preserve">–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The accession number must match the one recorded in the Lot Register at SOP-001 Step 6.8.</w:t>
      </w:r>
    </w:p>
    <w:p>
      <w:pPr>
        <w:spacing w:after="60" w:line="264"/>
        <w:ind w:left="1036" w:hanging="288"/>
      </w:pPr>
      <w:r>
        <w:rPr>
          <w:rFonts w:ascii="Calibri" w:cs="Calibri" w:eastAsia="Calibri" w:hAnsi="Calibri"/>
          <w:color w:val="5F6B66"/>
          <w:sz w:val="21"/>
          <w:szCs w:val="21"/>
        </w:rPr>
        <w:t xml:space="preserve">–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The COA number (format COA-YYYY-XXXXXX) must be present and legible.</w:t>
      </w:r>
    </w:p>
    <w:p>
      <w:pPr>
        <w:spacing w:after="60" w:line="264"/>
        <w:ind w:left="1036" w:hanging="288"/>
      </w:pPr>
      <w:r>
        <w:rPr>
          <w:rFonts w:ascii="Calibri" w:cs="Calibri" w:eastAsia="Calibri" w:hAnsi="Calibri"/>
          <w:color w:val="5F6B66"/>
          <w:sz w:val="21"/>
          <w:szCs w:val="21"/>
        </w:rPr>
        <w:t xml:space="preserve">–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If any field does not match, stop. Do not file it. Contact ILS Labs and resolve the discrepancy before proceeding.</w:t>
      </w:r>
    </w:p>
    <w:p>
      <w:pPr>
        <w:spacing w:after="60" w:before="140" w:line="276"/>
        <w:ind w:left="604" w:hanging="604"/>
      </w:pPr>
      <w:r>
        <w:rPr>
          <w:rFonts w:ascii="Calibri" w:cs="Calibri" w:eastAsia="Calibri" w:hAnsi="Calibri"/>
          <w:b/>
          <w:bCs/>
          <w:color w:val="0D6B5E"/>
          <w:sz w:val="21"/>
          <w:szCs w:val="21"/>
        </w:rPr>
        <w:t xml:space="preserve">4.3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Check the results against the acceptance criteria.</w:t>
      </w:r>
    </w:p>
    <w:p>
      <w:pPr>
        <w:spacing w:after="60" w:line="264"/>
        <w:ind w:left="1036" w:hanging="288"/>
      </w:pPr>
      <w:r>
        <w:rPr>
          <w:rFonts w:ascii="Calibri" w:cs="Calibri" w:eastAsia="Calibri" w:hAnsi="Calibri"/>
          <w:color w:val="5F6B66"/>
          <w:sz w:val="21"/>
          <w:szCs w:val="21"/>
        </w:rPr>
        <w:t xml:space="preserve">–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Identity confirms the product is what it is labeled as.</w:t>
      </w:r>
    </w:p>
    <w:p>
      <w:pPr>
        <w:spacing w:after="60" w:line="264"/>
        <w:ind w:left="1036" w:hanging="288"/>
      </w:pPr>
      <w:r>
        <w:rPr>
          <w:rFonts w:ascii="Calibri" w:cs="Calibri" w:eastAsia="Calibri" w:hAnsi="Calibri"/>
          <w:color w:val="5F6B66"/>
          <w:sz w:val="21"/>
          <w:szCs w:val="21"/>
        </w:rPr>
        <w:t xml:space="preserve">–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Purity meets or exceeds the threshold stated on the product listing. If the storefront claims a purity figure, the COA must support it.</w:t>
      </w:r>
    </w:p>
    <w:p>
      <w:pPr>
        <w:spacing w:after="60" w:line="264"/>
        <w:ind w:left="1036" w:hanging="288"/>
      </w:pPr>
      <w:r>
        <w:rPr>
          <w:rFonts w:ascii="Calibri" w:cs="Calibri" w:eastAsia="Calibri" w:hAnsi="Calibri"/>
          <w:color w:val="5F6B66"/>
          <w:sz w:val="21"/>
          <w:szCs w:val="21"/>
        </w:rPr>
        <w:t xml:space="preserve">–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Any test reported as fail, out of specification, or not determined stops the release.</w:t>
      </w:r>
    </w:p>
    <w:p>
      <w:pPr>
        <w:spacing w:after="60" w:before="140" w:line="276"/>
        <w:ind w:left="604" w:hanging="604"/>
      </w:pPr>
      <w:r>
        <w:rPr>
          <w:rFonts w:ascii="Calibri" w:cs="Calibri" w:eastAsia="Calibri" w:hAnsi="Calibri"/>
          <w:b/>
          <w:bCs/>
          <w:color w:val="0D6B5E"/>
          <w:sz w:val="21"/>
          <w:szCs w:val="21"/>
        </w:rPr>
        <w:t xml:space="preserve">4.4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File the certificate.</w:t>
      </w:r>
    </w:p>
    <w:p>
      <w:pPr>
        <w:spacing w:after="60" w:line="264"/>
        <w:ind w:left="1036" w:hanging="288"/>
      </w:pPr>
      <w:r>
        <w:rPr>
          <w:rFonts w:ascii="Calibri" w:cs="Calibri" w:eastAsia="Calibri" w:hAnsi="Calibri"/>
          <w:color w:val="5F6B66"/>
          <w:sz w:val="21"/>
          <w:szCs w:val="21"/>
        </w:rPr>
        <w:t xml:space="preserve">–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File name: LOTNUMBER_COA_COANUMBER.pdf — for example GHKCU50-2605-01_COA_COA-2026-OH42ST.pdf.</w:t>
      </w:r>
    </w:p>
    <w:p>
      <w:pPr>
        <w:spacing w:after="60" w:line="264"/>
        <w:ind w:left="1036" w:hanging="288"/>
      </w:pPr>
      <w:r>
        <w:rPr>
          <w:rFonts w:ascii="Calibri" w:cs="Calibri" w:eastAsia="Calibri" w:hAnsi="Calibri"/>
          <w:color w:val="5F6B66"/>
          <w:sz w:val="21"/>
          <w:szCs w:val="21"/>
        </w:rPr>
        <w:t xml:space="preserve">–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Store under the lot number in the quality records folder. One authoritative copy, not one per person’s downloads folder.</w:t>
      </w:r>
    </w:p>
    <w:p>
      <w:pPr>
        <w:spacing w:after="60" w:line="264"/>
        <w:ind w:left="1036" w:hanging="288"/>
      </w:pPr>
      <w:r>
        <w:rPr>
          <w:rFonts w:ascii="Calibri" w:cs="Calibri" w:eastAsia="Calibri" w:hAnsi="Calibri"/>
          <w:color w:val="5F6B66"/>
          <w:sz w:val="21"/>
          <w:szCs w:val="21"/>
        </w:rPr>
        <w:t xml:space="preserve">–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Record the COA number and the date received in the Lot Register.</w:t>
      </w:r>
    </w:p>
    <w:p>
      <w:pPr>
        <w:spacing w:after="60" w:before="140" w:line="276"/>
        <w:ind w:left="604" w:hanging="604"/>
      </w:pPr>
      <w:r>
        <w:rPr>
          <w:rFonts w:ascii="Calibri" w:cs="Calibri" w:eastAsia="Calibri" w:hAnsi="Calibri"/>
          <w:b/>
          <w:bCs/>
          <w:color w:val="0D6B5E"/>
          <w:sz w:val="21"/>
          <w:szCs w:val="21"/>
        </w:rPr>
        <w:t xml:space="preserve">4.5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Prepare the release recommendation.</w:t>
      </w:r>
    </w:p>
    <w:p>
      <w:pPr>
        <w:spacing w:after="60" w:line="264"/>
        <w:ind w:left="1036" w:hanging="288"/>
      </w:pPr>
      <w:r>
        <w:rPr>
          <w:rFonts w:ascii="Calibri" w:cs="Calibri" w:eastAsia="Calibri" w:hAnsi="Calibri"/>
          <w:color w:val="5F6B66"/>
          <w:sz w:val="21"/>
          <w:szCs w:val="21"/>
        </w:rPr>
        <w:t xml:space="preserve">–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Confirm every check in Steps 4.2 and 4.3 passed.</w:t>
      </w:r>
    </w:p>
    <w:p>
      <w:pPr>
        <w:spacing w:after="60" w:line="264"/>
        <w:ind w:left="1036" w:hanging="288"/>
      </w:pPr>
      <w:r>
        <w:rPr>
          <w:rFonts w:ascii="Calibri" w:cs="Calibri" w:eastAsia="Calibri" w:hAnsi="Calibri"/>
          <w:color w:val="5F6B66"/>
          <w:sz w:val="21"/>
          <w:szCs w:val="21"/>
        </w:rPr>
        <w:t xml:space="preserve">–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Send the lot number, the COA, and a one-line pass statement to the approver.</w:t>
      </w:r>
    </w:p>
    <w:p>
      <w:pPr>
        <w:spacing w:after="60" w:before="140" w:line="276"/>
        <w:ind w:left="604" w:hanging="604"/>
      </w:pPr>
      <w:r>
        <w:rPr>
          <w:rFonts w:ascii="Calibri" w:cs="Calibri" w:eastAsia="Calibri" w:hAnsi="Calibri"/>
          <w:b/>
          <w:bCs/>
          <w:color w:val="0D6B5E"/>
          <w:sz w:val="21"/>
          <w:szCs w:val="21"/>
        </w:rPr>
        <w:t xml:space="preserve">4.6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Release decision.</w:t>
      </w:r>
    </w:p>
    <w:p>
      <w:pPr>
        <w:spacing w:after="60" w:line="264"/>
        <w:ind w:left="1036" w:hanging="288"/>
      </w:pPr>
      <w:r>
        <w:rPr>
          <w:rFonts w:ascii="Calibri" w:cs="Calibri" w:eastAsia="Calibri" w:hAnsi="Calibri"/>
          <w:color w:val="5F6B66"/>
          <w:sz w:val="21"/>
          <w:szCs w:val="21"/>
        </w:rPr>
        <w:t xml:space="preserve">–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The approver records RELEASED, the release date, and their name in the Lot Register.</w:t>
      </w:r>
    </w:p>
    <w:p>
      <w:pPr>
        <w:spacing w:after="60" w:line="264"/>
        <w:ind w:left="1036" w:hanging="288"/>
      </w:pPr>
      <w:r>
        <w:rPr>
          <w:rFonts w:ascii="Calibri" w:cs="Calibri" w:eastAsia="Calibri" w:hAnsi="Calibri"/>
          <w:color w:val="5F6B66"/>
          <w:sz w:val="21"/>
          <w:szCs w:val="21"/>
        </w:rPr>
        <w:t xml:space="preserve">–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No other person may set this status. A lot that releases itself is not a controlled process.</w:t>
      </w:r>
    </w:p>
    <w:p>
      <w:pPr>
        <w:spacing w:after="60" w:before="140" w:line="276"/>
        <w:ind w:left="604" w:hanging="604"/>
      </w:pPr>
      <w:r>
        <w:rPr>
          <w:rFonts w:ascii="Calibri" w:cs="Calibri" w:eastAsia="Calibri" w:hAnsi="Calibri"/>
          <w:b/>
          <w:bCs/>
          <w:color w:val="0D6B5E"/>
          <w:sz w:val="21"/>
          <w:szCs w:val="21"/>
        </w:rPr>
        <w:t xml:space="preserve">4.7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Publish the COA and make the lot available.</w:t>
      </w:r>
    </w:p>
    <w:p>
      <w:pPr>
        <w:spacing w:after="60" w:line="264"/>
        <w:ind w:left="1036" w:hanging="288"/>
      </w:pPr>
      <w:r>
        <w:rPr>
          <w:rFonts w:ascii="Calibri" w:cs="Calibri" w:eastAsia="Calibri" w:hAnsi="Calibri"/>
          <w:color w:val="5F6B66"/>
          <w:sz w:val="21"/>
          <w:szCs w:val="21"/>
        </w:rPr>
        <w:t xml:space="preserve">–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Attach the COA PDF to the product page so a buyer can retrieve it without asking. This is the single most credible thing the storefront can do.</w:t>
      </w:r>
    </w:p>
    <w:p>
      <w:pPr>
        <w:spacing w:after="60" w:line="264"/>
        <w:ind w:left="1036" w:hanging="288"/>
      </w:pPr>
      <w:r>
        <w:rPr>
          <w:rFonts w:ascii="Calibri" w:cs="Calibri" w:eastAsia="Calibri" w:hAnsi="Calibri"/>
          <w:color w:val="5F6B66"/>
          <w:sz w:val="21"/>
          <w:szCs w:val="21"/>
        </w:rPr>
        <w:t xml:space="preserve">–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Add the released quantity to sellable inventory in WooCommerce.</w:t>
      </w:r>
    </w:p>
    <w:p>
      <w:pPr>
        <w:spacing w:after="60" w:line="264"/>
        <w:ind w:left="1036" w:hanging="288"/>
      </w:pPr>
      <w:r>
        <w:rPr>
          <w:rFonts w:ascii="Calibri" w:cs="Calibri" w:eastAsia="Calibri" w:hAnsi="Calibri"/>
          <w:color w:val="5F6B66"/>
          <w:sz w:val="21"/>
          <w:szCs w:val="21"/>
        </w:rPr>
        <w:t xml:space="preserve">–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Confirm the product page still carries the Research Use Only statement.</w:t>
      </w:r>
    </w:p>
    <w:p>
      <w:pPr>
        <w:spacing w:after="60" w:before="140" w:line="276"/>
        <w:ind w:left="604" w:hanging="604"/>
      </w:pPr>
      <w:r>
        <w:rPr>
          <w:rFonts w:ascii="Calibri" w:cs="Calibri" w:eastAsia="Calibri" w:hAnsi="Calibri"/>
          <w:b/>
          <w:bCs/>
          <w:color w:val="0D6B5E"/>
          <w:sz w:val="21"/>
          <w:szCs w:val="21"/>
        </w:rPr>
        <w:t xml:space="preserve">4.8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Clear the physical quarantine.</w:t>
      </w:r>
    </w:p>
    <w:p>
      <w:pPr>
        <w:spacing w:after="60" w:line="264"/>
        <w:ind w:left="1036" w:hanging="288"/>
      </w:pPr>
      <w:r>
        <w:rPr>
          <w:rFonts w:ascii="Calibri" w:cs="Calibri" w:eastAsia="Calibri" w:hAnsi="Calibri"/>
          <w:color w:val="5F6B66"/>
          <w:sz w:val="21"/>
          <w:szCs w:val="21"/>
        </w:rPr>
        <w:t xml:space="preserve">–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Remove or overprint the QUARANTINE labels and move the material to released storage.</w:t>
      </w:r>
    </w:p>
    <w:p>
      <w:pPr>
        <w:spacing w:after="60" w:line="264"/>
        <w:ind w:left="1036" w:hanging="288"/>
      </w:pPr>
      <w:r>
        <w:rPr>
          <w:rFonts w:ascii="Calibri" w:cs="Calibri" w:eastAsia="Calibri" w:hAnsi="Calibri"/>
          <w:color w:val="5F6B66"/>
          <w:sz w:val="21"/>
          <w:szCs w:val="21"/>
        </w:rPr>
        <w:t xml:space="preserve">–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Physical status and system status must agree at all times.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  When a lot fails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failed or out-of-specification result is not a delay to work around. Take these steps:</w:t>
      </w:r>
    </w:p>
    <w:p>
      <w:pPr>
        <w:spacing w:after="120" w:before="140" w:line="276"/>
        <w:ind w:left="604" w:hanging="604"/>
      </w:pPr>
      <w:r>
        <w:rPr>
          <w:rFonts w:ascii="Calibri" w:cs="Calibri" w:eastAsia="Calibri" w:hAnsi="Calibri"/>
          <w:b/>
          <w:bCs/>
          <w:color w:val="0D6B5E"/>
          <w:sz w:val="21"/>
          <w:szCs w:val="21"/>
        </w:rPr>
        <w:t xml:space="preserve">5.1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Leave the lot in quarantine and set the status to REJECTED in the Lot Register.</w:t>
      </w:r>
    </w:p>
    <w:p>
      <w:pPr>
        <w:spacing w:after="120" w:before="140" w:line="276"/>
        <w:ind w:left="604" w:hanging="604"/>
      </w:pPr>
      <w:r>
        <w:rPr>
          <w:rFonts w:ascii="Calibri" w:cs="Calibri" w:eastAsia="Calibri" w:hAnsi="Calibri"/>
          <w:b/>
          <w:bCs/>
          <w:color w:val="0D6B5E"/>
          <w:sz w:val="21"/>
          <w:szCs w:val="21"/>
        </w:rPr>
        <w:t xml:space="preserve">5.2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Confirm no units from the lot have shipped. If any have, notify the approver the same day — there is no recall procedure written yet, and drafting one becomes the immediate priority.</w:t>
      </w:r>
    </w:p>
    <w:p>
      <w:pPr>
        <w:spacing w:after="120" w:before="140" w:line="276"/>
        <w:ind w:left="604" w:hanging="604"/>
      </w:pPr>
      <w:r>
        <w:rPr>
          <w:rFonts w:ascii="Calibri" w:cs="Calibri" w:eastAsia="Calibri" w:hAnsi="Calibri"/>
          <w:b/>
          <w:bCs/>
          <w:color w:val="0D6B5E"/>
          <w:sz w:val="21"/>
          <w:szCs w:val="21"/>
        </w:rPr>
        <w:t xml:space="preserve">5.3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Record the failure, the certificate, and the disposition decision — return to supplier, destroy, or retest — under the lot number.</w:t>
      </w:r>
    </w:p>
    <w:p>
      <w:pPr>
        <w:spacing w:after="120" w:before="140" w:line="276"/>
        <w:ind w:left="604" w:hanging="604"/>
      </w:pPr>
      <w:r>
        <w:rPr>
          <w:rFonts w:ascii="Calibri" w:cs="Calibri" w:eastAsia="Calibri" w:hAnsi="Calibri"/>
          <w:b/>
          <w:bCs/>
          <w:color w:val="0D6B5E"/>
          <w:sz w:val="21"/>
          <w:szCs w:val="21"/>
        </w:rPr>
        <w:t xml:space="preserve">5.4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Raise it with the supplier in writing, referencing the Trade Assurance order number where applicable.</w:t>
      </w:r>
    </w:p>
    <w:p>
      <w:pPr>
        <w:spacing w:after="120" w:before="140" w:line="276"/>
        <w:ind w:left="604" w:hanging="604"/>
      </w:pPr>
      <w:r>
        <w:rPr>
          <w:rFonts w:ascii="Calibri" w:cs="Calibri" w:eastAsia="Calibri" w:hAnsi="Calibri"/>
          <w:b/>
          <w:bCs/>
          <w:color w:val="0D6B5E"/>
          <w:sz w:val="21"/>
          <w:szCs w:val="21"/>
        </w:rPr>
        <w:t xml:space="preserve">5.5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Never blend, relabel, or re-lot rejected material into a passing lot.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  Why the lot-to-customer link matters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SOP-003 records which lot each shipment was picked from. Together with this procedure, that means a single lot number answers three questions you may one day be asked under pressure: what was in it, who tested it, and who received it. Without that link, a problem with one lot becomes a problem with every order you have ever shipped.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  Records generated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Retain for a minimum of five years from the date the last unit of the lot ships: the COA PDF, the Lot Register row showing the release decision and approver, any failure or deviation note, and the supplier correspondence for rejected lots.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  Deviations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lot is released without a passing COA on file. There is no verbal release, no provisional release, and no releasing against a supplier’s own certificate in place of independent testing. If circumstances seem to require an exception, the answer is to hold the lot and escalate to the approver in writing.</w:t>
      </w:r>
    </w:p>
    <w:p>
      <w:pPr>
        <w:spacing w:after="120" w:before="20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  Approval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procedure takes effect on the date signed and remains in force until superseded by a later revision.</w:t>
      </w:r>
    </w:p>
    <w:tbl>
      <w:tblPr>
        <w:tblW w:type="dxa" w:w="10000"/>
        <w:tblBorders>
          <w:top w:val="single" w:color="BFC9C4" w:sz="4"/>
          <w:left w:val="single" w:color="BFC9C4" w:sz="4"/>
          <w:bottom w:val="single" w:color="BFC9C4" w:sz="4"/>
          <w:right w:val="single" w:color="BFC9C4" w:sz="4"/>
          <w:insideH w:val="single" w:color="BFC9C4" w:sz="4"/>
          <w:insideV w:val="single" w:color="BFC9C4" w:sz="4"/>
        </w:tblBorders>
      </w:tblPr>
      <w:tblGrid>
        <w:gridCol w:w="3400"/>
        <w:gridCol w:w="3300"/>
        <w:gridCol w:w="3300"/>
      </w:tblGrid>
      <w:tr>
        <w:trPr>
          <w:tblHeader/>
        </w:trPr>
        <w:tc>
          <w:tcPr>
            <w:tcW w:type="dxa" w:w="3400"/>
            <w:shd w:fill="EE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Role</w:t>
            </w:r>
          </w:p>
        </w:tc>
        <w:tc>
          <w:tcPr>
            <w:tcW w:type="dxa" w:w="3300"/>
            <w:shd w:fill="EE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3300"/>
            <w:shd w:fill="EE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Signature / date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Process owner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Ammre Barakat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  Revision history</w:t>
      </w:r>
    </w:p>
    <w:tbl>
      <w:tblPr>
        <w:tblW w:type="dxa" w:w="10000"/>
        <w:tblBorders>
          <w:top w:val="single" w:color="BFC9C4" w:sz="4"/>
          <w:left w:val="single" w:color="BFC9C4" w:sz="4"/>
          <w:bottom w:val="single" w:color="BFC9C4" w:sz="4"/>
          <w:right w:val="single" w:color="BFC9C4" w:sz="4"/>
          <w:insideH w:val="single" w:color="BFC9C4" w:sz="4"/>
          <w:insideV w:val="single" w:color="BFC9C4" w:sz="4"/>
        </w:tblBorders>
      </w:tblPr>
      <w:tblGrid>
        <w:gridCol w:w="1500"/>
        <w:gridCol w:w="2200"/>
        <w:gridCol w:w="3100"/>
        <w:gridCol w:w="3200"/>
      </w:tblGrid>
      <w:tr>
        <w:trPr>
          <w:tblHeader/>
        </w:trPr>
        <w:tc>
          <w:tcPr>
            <w:tcW w:type="dxa" w:w="1500"/>
            <w:shd w:fill="EE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Revision</w:t>
            </w:r>
          </w:p>
        </w:tc>
        <w:tc>
          <w:tcPr>
            <w:tcW w:type="dxa" w:w="2200"/>
            <w:shd w:fill="EE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3100"/>
            <w:shd w:fill="EE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Author</w:t>
            </w:r>
          </w:p>
        </w:tc>
        <w:tc>
          <w:tcPr>
            <w:tcW w:type="dxa" w:w="3200"/>
            <w:shd w:fill="EE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Initial issue.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9C4" w:sz="4" w:space="6"/>
      </w:pBdr>
      <w:jc w:val="left"/>
    </w:pPr>
    <w:r>
      <w:rPr>
        <w:rFonts w:ascii="Calibri" w:cs="Calibri" w:eastAsia="Calibri" w:hAnsi="Calibri"/>
        <w:color w:val="5F6B66"/>
        <w:sz w:val="16"/>
        <w:szCs w:val="16"/>
      </w:rPr>
      <w:t xml:space="preserve">8486 Ventures LLC  ·  NexPhase Labs  ·  SOP-002 Rev 1.0  ·  Page </w:t>
    </w:r>
    <w:r>
      <w:rPr>
        <w:rFonts w:ascii="Calibri" w:cs="Calibri" w:eastAsia="Calibri" w:hAnsi="Calibri"/>
        <w:color w:val="5F6B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F6B66"/>
        <w:sz w:val="16"/>
        <w:szCs w:val="16"/>
      </w:rPr>
      <w:t xml:space="preserve"> of </w:t>
    </w:r>
    <w:r>
      <w:rPr>
        <w:rFonts w:ascii="Calibri" w:cs="Calibri" w:eastAsia="Calibri" w:hAnsi="Calibri"/>
        <w:color w:val="5F6B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5F6B66"/>
        <w:sz w:val="16"/>
        <w:szCs w:val="16"/>
      </w:rPr>
      <w:t xml:space="preserve">   ·   Uncontrolled when printed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SOP-002</dc:title>
  <dc:creator>8486 Ventures LLC</dc:creator>
  <cp:lastModifiedBy>Un-named</cp:lastModifiedBy>
  <cp:revision>1</cp:revision>
  <dcterms:created xsi:type="dcterms:W3CDTF">2026-09-03T05:12:07.938Z</dcterms:created>
  <dcterms:modified xsi:type="dcterms:W3CDTF">2026-09-03T05:12:07.938Z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