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Technical Operations and Recovery Manual</w:t>
      </w:r>
    </w:p>
    <w:p>
      <w:pPr>
        <w:pStyle w:val="Subtitle"/>
      </w:pPr>
      <w:r>
        <w:rPr>
          <w:color w:val="000000"/>
        </w:rPr>
        <w:t>Safe deployment provider activation monitoring backup restore and incident response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trPr>
        <w:tc>
          <w:tcPr>
            <w:tcW w:type="dxa" w:w="1800"/>
            <w:shd w:fill="17365D"/>
            <w:vAlign w:val="center"/>
            <w:tcMar>
              <w:top w:w="100" w:type="dxa"/>
              <w:start w:w="110" w:type="dxa"/>
              <w:bottom w:w="100" w:type="dxa"/>
              <w:end w:w="110" w:type="dxa"/>
            </w:tcMar>
          </w:tcPr>
          <w:p>
            <w:pPr>
              <w:jc w:val="center"/>
            </w:pPr>
            <w:r>
              <w:rPr>
                <w:b/>
                <w:color w:val="FFFFFF"/>
                <w:sz w:val="18"/>
              </w:rPr>
              <w:t>Document</w:t>
            </w:r>
          </w:p>
        </w:tc>
        <w:tc>
          <w:tcPr>
            <w:tcW w:type="dxa" w:w="1656"/>
            <w:shd w:fill="17365D"/>
            <w:vAlign w:val="center"/>
            <w:tcMar>
              <w:top w:w="100" w:type="dxa"/>
              <w:start w:w="110" w:type="dxa"/>
              <w:bottom w:w="100" w:type="dxa"/>
              <w:end w:w="110" w:type="dxa"/>
            </w:tcMar>
          </w:tcPr>
          <w:p>
            <w:pPr>
              <w:jc w:val="center"/>
            </w:pPr>
            <w:r>
              <w:rPr>
                <w:b/>
                <w:color w:val="FFFFFF"/>
                <w:sz w:val="18"/>
              </w:rPr>
              <w:t>Revision</w:t>
            </w:r>
          </w:p>
        </w:tc>
        <w:tc>
          <w:tcPr>
            <w:tcW w:type="dxa" w:w="2448"/>
            <w:shd w:fill="17365D"/>
            <w:vAlign w:val="center"/>
            <w:tcMar>
              <w:top w:w="100" w:type="dxa"/>
              <w:start w:w="110" w:type="dxa"/>
              <w:bottom w:w="100" w:type="dxa"/>
              <w:end w:w="110" w:type="dxa"/>
            </w:tcMar>
          </w:tcPr>
          <w:p>
            <w:pPr>
              <w:jc w:val="center"/>
            </w:pPr>
            <w:r>
              <w:rPr>
                <w:b/>
                <w:color w:val="FFFFFF"/>
                <w:sz w:val="18"/>
              </w:rPr>
              <w:t>Status</w:t>
            </w:r>
          </w:p>
        </w:tc>
        <w:tc>
          <w:tcPr>
            <w:tcW w:type="dxa" w:w="3384"/>
            <w:shd w:fill="17365D"/>
            <w:vAlign w:val="center"/>
            <w:tcMar>
              <w:top w:w="100" w:type="dxa"/>
              <w:start w:w="110" w:type="dxa"/>
              <w:bottom w:w="100" w:type="dxa"/>
              <w:end w:w="110" w:type="dxa"/>
            </w:tcMar>
          </w:tcPr>
          <w:p>
            <w:pPr>
              <w:jc w:val="center"/>
            </w:pPr>
            <w:r>
              <w:rPr>
                <w:b/>
                <w:color w:val="FFFFFF"/>
                <w:sz w:val="18"/>
              </w:rPr>
              <w:t>Review cycle</w:t>
            </w:r>
          </w:p>
        </w:tc>
      </w:tr>
      <w:tr>
        <w:trPr>
          <w:cantSplit/>
        </w:trPr>
        <w:tc>
          <w:tcPr>
            <w:tcW w:type="dxa" w:w="1800"/>
            <w:vAlign w:val="center"/>
            <w:tcMar>
              <w:top w:w="100" w:type="dxa"/>
              <w:start w:w="110" w:type="dxa"/>
              <w:bottom w:w="100" w:type="dxa"/>
              <w:end w:w="110" w:type="dxa"/>
            </w:tcMar>
          </w:tcPr>
          <w:p>
            <w:pPr>
              <w:jc w:val="center"/>
            </w:pPr>
            <w:r>
              <w:t>MAN 002</w:t>
            </w:r>
          </w:p>
        </w:tc>
        <w:tc>
          <w:tcPr>
            <w:tcW w:type="dxa" w:w="1656"/>
            <w:vAlign w:val="center"/>
            <w:tcMar>
              <w:top w:w="100" w:type="dxa"/>
              <w:start w:w="110" w:type="dxa"/>
              <w:bottom w:w="100" w:type="dxa"/>
              <w:end w:w="110" w:type="dxa"/>
            </w:tcMar>
          </w:tcPr>
          <w:p>
            <w:pPr>
              <w:jc w:val="center"/>
            </w:pPr>
            <w:r>
              <w:t>Revision 0 1</w:t>
            </w:r>
          </w:p>
        </w:tc>
        <w:tc>
          <w:tcPr>
            <w:tcW w:type="dxa" w:w="2448"/>
            <w:vAlign w:val="center"/>
            <w:tcMar>
              <w:top w:w="100" w:type="dxa"/>
              <w:start w:w="110" w:type="dxa"/>
              <w:bottom w:w="100" w:type="dxa"/>
              <w:end w:w="110" w:type="dxa"/>
            </w:tcMar>
          </w:tcPr>
          <w:p>
            <w:pPr>
              <w:jc w:val="center"/>
            </w:pPr>
            <w:r>
              <w:t>Controlled draft</w:t>
            </w:r>
          </w:p>
        </w:tc>
        <w:tc>
          <w:tcPr>
            <w:tcW w:type="dxa" w:w="3384"/>
            <w:vAlign w:val="center"/>
            <w:tcMar>
              <w:top w:w="100" w:type="dxa"/>
              <w:start w:w="110" w:type="dxa"/>
              <w:bottom w:w="100" w:type="dxa"/>
              <w:end w:w="110" w:type="dxa"/>
            </w:tcMar>
          </w:tcPr>
          <w:p>
            <w:pPr>
              <w:jc w:val="left"/>
            </w:pPr>
            <w:r>
              <w:t>Annual and after material change</w:t>
            </w:r>
          </w:p>
        </w:tc>
      </w:tr>
    </w:tbl>
    <w:p>
      <w:pPr>
        <w:spacing w:after="20"/>
      </w:pPr>
    </w:p>
    <w:p>
      <w:r>
        <w:rPr>
          <w:b/>
        </w:rPr>
        <w:t xml:space="preserve">Issuance condition  </w:t>
      </w:r>
      <w:r>
        <w:t>The authorized members must approve the authority matrix and open policies, then named operators must complete a staging walkthrough. Record approval and training evidence in Operating Controls before changing this document to issued.</w:t>
      </w:r>
    </w:p>
    <w:p>
      <w:pPr>
        <w:pStyle w:val="Heading1"/>
      </w:pPr>
      <w:r>
        <w:t>Manual purpose</w:t>
      </w:r>
    </w:p>
    <w:p>
      <w:r>
        <w:t>This manual governs technical changes that can affect business records, customer access, payments, shipping, documents, and recovery. It requires environment separation, evidence before activation, reversible changes, and an operational case when service or data integrity is uncertain.</w:t>
      </w:r>
    </w:p>
    <w:p>
      <w:pPr>
        <w:pStyle w:val="Heading1"/>
      </w:pPr>
      <w:r>
        <w:t>Environment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1440"/>
            <w:shd w:fill="17365D"/>
            <w:vAlign w:val="center"/>
            <w:tcMar>
              <w:top w:w="100" w:type="dxa"/>
              <w:start w:w="110" w:type="dxa"/>
              <w:bottom w:w="100" w:type="dxa"/>
              <w:end w:w="110" w:type="dxa"/>
            </w:tcMar>
          </w:tcPr>
          <w:p>
            <w:pPr>
              <w:jc w:val="center"/>
            </w:pPr>
            <w:r>
              <w:rPr>
                <w:b/>
                <w:color w:val="FFFFFF"/>
                <w:sz w:val="18"/>
              </w:rPr>
              <w:t>Environment</w:t>
            </w:r>
          </w:p>
        </w:tc>
        <w:tc>
          <w:tcPr>
            <w:tcW w:type="dxa" w:w="1944"/>
            <w:shd w:fill="17365D"/>
            <w:vAlign w:val="center"/>
            <w:tcMar>
              <w:top w:w="100" w:type="dxa"/>
              <w:start w:w="110" w:type="dxa"/>
              <w:bottom w:w="100" w:type="dxa"/>
              <w:end w:w="110" w:type="dxa"/>
            </w:tcMar>
          </w:tcPr>
          <w:p>
            <w:pPr>
              <w:jc w:val="center"/>
            </w:pPr>
            <w:r>
              <w:rPr>
                <w:b/>
                <w:color w:val="FFFFFF"/>
                <w:sz w:val="18"/>
              </w:rPr>
              <w:t>Worker</w:t>
            </w:r>
          </w:p>
        </w:tc>
        <w:tc>
          <w:tcPr>
            <w:tcW w:type="dxa" w:w="1944"/>
            <w:shd w:fill="17365D"/>
            <w:vAlign w:val="center"/>
            <w:tcMar>
              <w:top w:w="100" w:type="dxa"/>
              <w:start w:w="110" w:type="dxa"/>
              <w:bottom w:w="100" w:type="dxa"/>
              <w:end w:w="110" w:type="dxa"/>
            </w:tcMar>
          </w:tcPr>
          <w:p>
            <w:pPr>
              <w:jc w:val="center"/>
            </w:pPr>
            <w:r>
              <w:rPr>
                <w:b/>
                <w:color w:val="FFFFFF"/>
                <w:sz w:val="18"/>
              </w:rPr>
              <w:t>Database</w:t>
            </w:r>
          </w:p>
        </w:tc>
        <w:tc>
          <w:tcPr>
            <w:tcW w:type="dxa" w:w="2088"/>
            <w:shd w:fill="17365D"/>
            <w:vAlign w:val="center"/>
            <w:tcMar>
              <w:top w:w="100" w:type="dxa"/>
              <w:start w:w="110" w:type="dxa"/>
              <w:bottom w:w="100" w:type="dxa"/>
              <w:end w:w="110" w:type="dxa"/>
            </w:tcMar>
          </w:tcPr>
          <w:p>
            <w:pPr>
              <w:jc w:val="center"/>
            </w:pPr>
            <w:r>
              <w:rPr>
                <w:b/>
                <w:color w:val="FFFFFF"/>
                <w:sz w:val="18"/>
              </w:rPr>
              <w:t>Documents</w:t>
            </w:r>
          </w:p>
        </w:tc>
        <w:tc>
          <w:tcPr>
            <w:tcW w:type="dxa" w:w="2304"/>
            <w:shd w:fill="17365D"/>
            <w:vAlign w:val="center"/>
            <w:tcMar>
              <w:top w:w="100" w:type="dxa"/>
              <w:start w:w="110" w:type="dxa"/>
              <w:bottom w:w="100" w:type="dxa"/>
              <w:end w:w="110" w:type="dxa"/>
            </w:tcMar>
          </w:tcPr>
          <w:p>
            <w:pPr>
              <w:jc w:val="center"/>
            </w:pPr>
            <w:r>
              <w:rPr>
                <w:b/>
                <w:color w:val="FFFFFF"/>
                <w:sz w:val="18"/>
              </w:rPr>
              <w:t>Permitted use</w:t>
            </w:r>
          </w:p>
        </w:tc>
      </w:tr>
      <w:tr>
        <w:trPr>
          <w:cantSplit/>
        </w:trPr>
        <w:tc>
          <w:tcPr>
            <w:tcW w:type="dxa" w:w="1440"/>
            <w:vAlign w:val="center"/>
            <w:tcMar>
              <w:top w:w="100" w:type="dxa"/>
              <w:start w:w="110" w:type="dxa"/>
              <w:bottom w:w="100" w:type="dxa"/>
              <w:end w:w="110" w:type="dxa"/>
            </w:tcMar>
          </w:tcPr>
          <w:p>
            <w:pPr>
              <w:jc w:val="center"/>
            </w:pPr>
            <w:r>
              <w:t>Local</w:t>
            </w:r>
          </w:p>
        </w:tc>
        <w:tc>
          <w:tcPr>
            <w:tcW w:type="dxa" w:w="1944"/>
            <w:vAlign w:val="center"/>
            <w:tcMar>
              <w:top w:w="100" w:type="dxa"/>
              <w:start w:w="110" w:type="dxa"/>
              <w:bottom w:w="100" w:type="dxa"/>
              <w:end w:w="110" w:type="dxa"/>
            </w:tcMar>
          </w:tcPr>
          <w:p>
            <w:pPr>
              <w:jc w:val="center"/>
            </w:pPr>
            <w:r>
              <w:t>Local runtime</w:t>
            </w:r>
          </w:p>
        </w:tc>
        <w:tc>
          <w:tcPr>
            <w:tcW w:type="dxa" w:w="1944"/>
            <w:vAlign w:val="center"/>
            <w:tcMar>
              <w:top w:w="100" w:type="dxa"/>
              <w:start w:w="110" w:type="dxa"/>
              <w:bottom w:w="100" w:type="dxa"/>
              <w:end w:w="110" w:type="dxa"/>
            </w:tcMar>
          </w:tcPr>
          <w:p>
            <w:pPr>
              <w:jc w:val="center"/>
            </w:pPr>
            <w:r>
              <w:t>Local D1 state</w:t>
            </w:r>
          </w:p>
        </w:tc>
        <w:tc>
          <w:tcPr>
            <w:tcW w:type="dxa" w:w="2088"/>
            <w:vAlign w:val="center"/>
            <w:tcMar>
              <w:top w:w="100" w:type="dxa"/>
              <w:start w:w="110" w:type="dxa"/>
              <w:bottom w:w="100" w:type="dxa"/>
              <w:end w:w="110" w:type="dxa"/>
            </w:tcMar>
          </w:tcPr>
          <w:p>
            <w:pPr>
              <w:jc w:val="center"/>
            </w:pPr>
            <w:r>
              <w:t>Local R2 state</w:t>
            </w:r>
          </w:p>
        </w:tc>
        <w:tc>
          <w:tcPr>
            <w:tcW w:type="dxa" w:w="2304"/>
            <w:vAlign w:val="center"/>
            <w:tcMar>
              <w:top w:w="100" w:type="dxa"/>
              <w:start w:w="110" w:type="dxa"/>
              <w:bottom w:w="100" w:type="dxa"/>
              <w:end w:w="110" w:type="dxa"/>
            </w:tcMar>
          </w:tcPr>
          <w:p>
            <w:pPr>
              <w:jc w:val="left"/>
            </w:pPr>
            <w:r>
              <w:t>Development and automated tests</w:t>
            </w:r>
          </w:p>
        </w:tc>
      </w:tr>
      <w:tr>
        <w:trPr>
          <w:cantSplit/>
        </w:trPr>
        <w:tc>
          <w:tcPr>
            <w:tcW w:type="dxa" w:w="1440"/>
            <w:shd w:fill="EFF4F8"/>
            <w:vAlign w:val="center"/>
            <w:tcMar>
              <w:top w:w="100" w:type="dxa"/>
              <w:start w:w="110" w:type="dxa"/>
              <w:bottom w:w="100" w:type="dxa"/>
              <w:end w:w="110" w:type="dxa"/>
            </w:tcMar>
          </w:tcPr>
          <w:p>
            <w:pPr>
              <w:jc w:val="center"/>
            </w:pPr>
            <w:r>
              <w:t>Staging</w:t>
            </w:r>
          </w:p>
        </w:tc>
        <w:tc>
          <w:tcPr>
            <w:tcW w:type="dxa" w:w="1944"/>
            <w:shd w:fill="EFF4F8"/>
            <w:vAlign w:val="center"/>
            <w:tcMar>
              <w:top w:w="100" w:type="dxa"/>
              <w:start w:w="110" w:type="dxa"/>
              <w:bottom w:w="100" w:type="dxa"/>
              <w:end w:w="110" w:type="dxa"/>
            </w:tcMar>
          </w:tcPr>
          <w:p>
            <w:pPr>
              <w:jc w:val="center"/>
            </w:pPr>
            <w:r>
              <w:t>nexphaselabs staging</w:t>
            </w:r>
          </w:p>
        </w:tc>
        <w:tc>
          <w:tcPr>
            <w:tcW w:type="dxa" w:w="1944"/>
            <w:shd w:fill="EFF4F8"/>
            <w:vAlign w:val="center"/>
            <w:tcMar>
              <w:top w:w="100" w:type="dxa"/>
              <w:start w:w="110" w:type="dxa"/>
              <w:bottom w:w="100" w:type="dxa"/>
              <w:end w:w="110" w:type="dxa"/>
            </w:tcMar>
          </w:tcPr>
          <w:p>
            <w:pPr>
              <w:jc w:val="center"/>
            </w:pPr>
            <w:r>
              <w:t>nexphase labs staging</w:t>
            </w:r>
          </w:p>
        </w:tc>
        <w:tc>
          <w:tcPr>
            <w:tcW w:type="dxa" w:w="2088"/>
            <w:shd w:fill="EFF4F8"/>
            <w:vAlign w:val="center"/>
            <w:tcMar>
              <w:top w:w="100" w:type="dxa"/>
              <w:start w:w="110" w:type="dxa"/>
              <w:bottom w:w="100" w:type="dxa"/>
              <w:end w:w="110" w:type="dxa"/>
            </w:tcMar>
          </w:tcPr>
          <w:p>
            <w:pPr>
              <w:jc w:val="left"/>
            </w:pPr>
            <w:r>
              <w:t>nexphase documents staging</w:t>
            </w:r>
          </w:p>
        </w:tc>
        <w:tc>
          <w:tcPr>
            <w:tcW w:type="dxa" w:w="2304"/>
            <w:shd w:fill="EFF4F8"/>
            <w:vAlign w:val="center"/>
            <w:tcMar>
              <w:top w:w="100" w:type="dxa"/>
              <w:start w:w="110" w:type="dxa"/>
              <w:bottom w:w="100" w:type="dxa"/>
              <w:end w:w="110" w:type="dxa"/>
            </w:tcMar>
          </w:tcPr>
          <w:p>
            <w:pPr>
              <w:jc w:val="left"/>
            </w:pPr>
            <w:r>
              <w:t>Controlled rehearsal with synthetic data</w:t>
            </w:r>
          </w:p>
        </w:tc>
      </w:tr>
      <w:tr>
        <w:trPr>
          <w:cantSplit/>
        </w:trPr>
        <w:tc>
          <w:tcPr>
            <w:tcW w:type="dxa" w:w="1440"/>
            <w:vAlign w:val="center"/>
            <w:tcMar>
              <w:top w:w="100" w:type="dxa"/>
              <w:start w:w="110" w:type="dxa"/>
              <w:bottom w:w="100" w:type="dxa"/>
              <w:end w:w="110" w:type="dxa"/>
            </w:tcMar>
          </w:tcPr>
          <w:p>
            <w:pPr>
              <w:jc w:val="center"/>
            </w:pPr>
            <w:r>
              <w:t>Production</w:t>
            </w:r>
          </w:p>
        </w:tc>
        <w:tc>
          <w:tcPr>
            <w:tcW w:type="dxa" w:w="1944"/>
            <w:vAlign w:val="center"/>
            <w:tcMar>
              <w:top w:w="100" w:type="dxa"/>
              <w:start w:w="110" w:type="dxa"/>
              <w:bottom w:w="100" w:type="dxa"/>
              <w:end w:w="110" w:type="dxa"/>
            </w:tcMar>
          </w:tcPr>
          <w:p>
            <w:pPr>
              <w:jc w:val="center"/>
            </w:pPr>
            <w:r>
              <w:t>nexphaselabs</w:t>
            </w:r>
          </w:p>
        </w:tc>
        <w:tc>
          <w:tcPr>
            <w:tcW w:type="dxa" w:w="1944"/>
            <w:vAlign w:val="center"/>
            <w:tcMar>
              <w:top w:w="100" w:type="dxa"/>
              <w:start w:w="110" w:type="dxa"/>
              <w:bottom w:w="100" w:type="dxa"/>
              <w:end w:w="110" w:type="dxa"/>
            </w:tcMar>
          </w:tcPr>
          <w:p>
            <w:pPr>
              <w:jc w:val="center"/>
            </w:pPr>
            <w:r>
              <w:t>nexphase labs</w:t>
            </w:r>
          </w:p>
        </w:tc>
        <w:tc>
          <w:tcPr>
            <w:tcW w:type="dxa" w:w="2088"/>
            <w:vAlign w:val="center"/>
            <w:tcMar>
              <w:top w:w="100" w:type="dxa"/>
              <w:start w:w="110" w:type="dxa"/>
              <w:bottom w:w="100" w:type="dxa"/>
              <w:end w:w="110" w:type="dxa"/>
            </w:tcMar>
          </w:tcPr>
          <w:p>
            <w:pPr>
              <w:jc w:val="center"/>
            </w:pPr>
            <w:r>
              <w:t>nexphase documents</w:t>
            </w:r>
          </w:p>
        </w:tc>
        <w:tc>
          <w:tcPr>
            <w:tcW w:type="dxa" w:w="2304"/>
            <w:vAlign w:val="center"/>
            <w:tcMar>
              <w:top w:w="100" w:type="dxa"/>
              <w:start w:w="110" w:type="dxa"/>
              <w:bottom w:w="100" w:type="dxa"/>
              <w:end w:w="110" w:type="dxa"/>
            </w:tcMar>
          </w:tcPr>
          <w:p>
            <w:pPr>
              <w:jc w:val="left"/>
            </w:pPr>
            <w:r>
              <w:t>Real activity only after launch approval</w:t>
            </w:r>
          </w:p>
        </w:tc>
      </w:tr>
    </w:tbl>
    <w:p>
      <w:pPr>
        <w:spacing w:after="20"/>
      </w:pPr>
    </w:p>
    <w:p>
      <w:r>
        <w:t>The public domain currently serves the prior site. A deployment does not authorize a DNS cutover, real provider activity, production data import, or customer contact. Each action needs its own approved change record.</w:t>
      </w:r>
    </w:p>
    <w:p>
      <w:pPr>
        <w:pStyle w:val="Heading1"/>
      </w:pPr>
      <w:r>
        <w:t>Access and secret control</w:t>
      </w:r>
    </w:p>
    <w:p>
      <w:pPr>
        <w:pStyle w:val="ListBullet"/>
      </w:pPr>
      <w:r>
        <w:t>Use individual staff accounts and the least authority approved for the person’s responsibilities.</w:t>
      </w:r>
    </w:p>
    <w:p>
      <w:pPr>
        <w:pStyle w:val="ListBullet"/>
      </w:pPr>
      <w:r>
        <w:t>Keep provider keys and deployment credentials in approved secret systems. Never record them in source files, Drive, forms, cases, or manuals.</w:t>
      </w:r>
    </w:p>
    <w:p>
      <w:pPr>
        <w:pStyle w:val="ListBullet"/>
      </w:pPr>
      <w:r>
        <w:t>Protect all staging hostnames, including direct workers.dev access, and test the restriction from an unauthenticated browser.</w:t>
      </w:r>
    </w:p>
    <w:p>
      <w:pPr>
        <w:pStyle w:val="ListBullet"/>
      </w:pPr>
      <w:r>
        <w:t>Review active users, sessions, recovery access, and leavers on the approved schedule.</w:t>
      </w:r>
    </w:p>
    <w:p>
      <w:pPr>
        <w:pStyle w:val="ListBullet"/>
      </w:pPr>
      <w:r>
        <w:t>Revoke sessions after role, password, or employment changes when continued access is not approved.</w:t>
      </w:r>
    </w:p>
    <w:p>
      <w:pPr>
        <w:pStyle w:val="Heading1"/>
      </w:pPr>
      <w:r>
        <w:t>Change and deployment procedure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Define scope, affected workflows, data changes, owner, reviewer, rollback, and acceptance evidence.</w:t>
            </w:r>
          </w:p>
        </w:tc>
        <w:tc>
          <w:tcPr>
            <w:tcW w:type="dxa" w:w="3672"/>
            <w:vAlign w:val="center"/>
            <w:tcMar>
              <w:top w:w="100" w:type="dxa"/>
              <w:start w:w="110" w:type="dxa"/>
              <w:bottom w:w="100" w:type="dxa"/>
              <w:end w:w="110" w:type="dxa"/>
            </w:tcMar>
          </w:tcPr>
          <w:p>
            <w:pPr>
              <w:jc w:val="left"/>
            </w:pPr>
            <w:r>
              <w:t>Approved change record</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Review uncommitted work and isolate unrelated changes. Add migration and workflow tests for data changes.</w:t>
            </w:r>
          </w:p>
        </w:tc>
        <w:tc>
          <w:tcPr>
            <w:tcW w:type="dxa" w:w="3672"/>
            <w:shd w:fill="EFF4F8"/>
            <w:vAlign w:val="center"/>
            <w:tcMar>
              <w:top w:w="100" w:type="dxa"/>
              <w:start w:w="110" w:type="dxa"/>
              <w:bottom w:w="100" w:type="dxa"/>
              <w:end w:w="110" w:type="dxa"/>
            </w:tcMar>
          </w:tcPr>
          <w:p>
            <w:pPr>
              <w:jc w:val="left"/>
            </w:pPr>
            <w:r>
              <w:t>Traceable change set</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Run type checking, lint, the complete test suite, production build, fresh migration replay, and foreign key check.</w:t>
            </w:r>
          </w:p>
        </w:tc>
        <w:tc>
          <w:tcPr>
            <w:tcW w:type="dxa" w:w="3672"/>
            <w:vAlign w:val="center"/>
            <w:tcMar>
              <w:top w:w="100" w:type="dxa"/>
              <w:start w:w="110" w:type="dxa"/>
              <w:bottom w:w="100" w:type="dxa"/>
              <w:end w:w="110" w:type="dxa"/>
            </w:tcMar>
          </w:tcPr>
          <w:p>
            <w:pPr>
              <w:jc w:val="left"/>
            </w:pPr>
            <w:r>
              <w:t>Green verification evidence</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Back up the target database and document bucket before a material change. Verify the database export in isolation.</w:t>
            </w:r>
          </w:p>
        </w:tc>
        <w:tc>
          <w:tcPr>
            <w:tcW w:type="dxa" w:w="3672"/>
            <w:shd w:fill="EFF4F8"/>
            <w:vAlign w:val="center"/>
            <w:tcMar>
              <w:top w:w="100" w:type="dxa"/>
              <w:start w:w="110" w:type="dxa"/>
              <w:bottom w:w="100" w:type="dxa"/>
              <w:end w:w="110" w:type="dxa"/>
            </w:tcMar>
          </w:tcPr>
          <w:p>
            <w:pPr>
              <w:jc w:val="left"/>
            </w:pPr>
            <w:r>
              <w:t>Recovery evidence</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Apply migrations to staging and deploy staging. Verify health, authentication, and the affected normal and failure paths.</w:t>
            </w:r>
          </w:p>
        </w:tc>
        <w:tc>
          <w:tcPr>
            <w:tcW w:type="dxa" w:w="3672"/>
            <w:vAlign w:val="center"/>
            <w:tcMar>
              <w:top w:w="100" w:type="dxa"/>
              <w:start w:w="110" w:type="dxa"/>
              <w:bottom w:w="100" w:type="dxa"/>
              <w:end w:w="110" w:type="dxa"/>
            </w:tcMar>
          </w:tcPr>
          <w:p>
            <w:pPr>
              <w:jc w:val="left"/>
            </w:pPr>
            <w:r>
              <w:t>Staging result</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Obtain production approval. Apply migration before code when the migration is backward compatible; follow the approved sequence otherwise.</w:t>
            </w:r>
          </w:p>
        </w:tc>
        <w:tc>
          <w:tcPr>
            <w:tcW w:type="dxa" w:w="3672"/>
            <w:shd w:fill="EFF4F8"/>
            <w:vAlign w:val="center"/>
            <w:tcMar>
              <w:top w:w="100" w:type="dxa"/>
              <w:start w:w="110" w:type="dxa"/>
              <w:bottom w:w="100" w:type="dxa"/>
              <w:end w:w="110" w:type="dxa"/>
            </w:tcMar>
          </w:tcPr>
          <w:p>
            <w:pPr>
              <w:jc w:val="left"/>
            </w:pPr>
            <w:r>
              <w:t>Production change event</w:t>
            </w:r>
          </w:p>
        </w:tc>
      </w:tr>
      <w:tr>
        <w:trPr>
          <w:cantSplit/>
        </w:trPr>
        <w:tc>
          <w:tcPr>
            <w:tcW w:type="dxa" w:w="792"/>
            <w:vAlign w:val="center"/>
            <w:tcMar>
              <w:top w:w="100" w:type="dxa"/>
              <w:start w:w="110" w:type="dxa"/>
              <w:bottom w:w="100" w:type="dxa"/>
              <w:end w:w="110" w:type="dxa"/>
            </w:tcMar>
          </w:tcPr>
          <w:p>
            <w:pPr>
              <w:jc w:val="center"/>
            </w:pPr>
            <w:r>
              <w:t>7</w:t>
            </w:r>
          </w:p>
        </w:tc>
        <w:tc>
          <w:tcPr>
            <w:tcW w:type="dxa" w:w="5256"/>
            <w:vAlign w:val="center"/>
            <w:tcMar>
              <w:top w:w="100" w:type="dxa"/>
              <w:start w:w="110" w:type="dxa"/>
              <w:bottom w:w="100" w:type="dxa"/>
              <w:end w:w="110" w:type="dxa"/>
            </w:tcMar>
          </w:tcPr>
          <w:p>
            <w:pPr>
              <w:jc w:val="left"/>
            </w:pPr>
            <w:r>
              <w:t>Run health and a non destructive smoke test. Monitor logs, provider queues, and operational cases.</w:t>
            </w:r>
          </w:p>
        </w:tc>
        <w:tc>
          <w:tcPr>
            <w:tcW w:type="dxa" w:w="3672"/>
            <w:vAlign w:val="center"/>
            <w:tcMar>
              <w:top w:w="100" w:type="dxa"/>
              <w:start w:w="110" w:type="dxa"/>
              <w:bottom w:w="100" w:type="dxa"/>
              <w:end w:w="110" w:type="dxa"/>
            </w:tcMar>
          </w:tcPr>
          <w:p>
            <w:pPr>
              <w:jc w:val="left"/>
            </w:pPr>
            <w:r>
              <w:t>Post change verification</w:t>
            </w:r>
          </w:p>
        </w:tc>
      </w:tr>
      <w:tr>
        <w:trPr>
          <w:cantSplit/>
        </w:trPr>
        <w:tc>
          <w:tcPr>
            <w:tcW w:type="dxa" w:w="792"/>
            <w:shd w:fill="EFF4F8"/>
            <w:vAlign w:val="center"/>
            <w:tcMar>
              <w:top w:w="100" w:type="dxa"/>
              <w:start w:w="110" w:type="dxa"/>
              <w:bottom w:w="100" w:type="dxa"/>
              <w:end w:w="110" w:type="dxa"/>
            </w:tcMar>
          </w:tcPr>
          <w:p>
            <w:pPr>
              <w:jc w:val="center"/>
            </w:pPr>
            <w:r>
              <w:t>8</w:t>
            </w:r>
          </w:p>
        </w:tc>
        <w:tc>
          <w:tcPr>
            <w:tcW w:type="dxa" w:w="5256"/>
            <w:shd w:fill="EFF4F8"/>
            <w:vAlign w:val="center"/>
            <w:tcMar>
              <w:top w:w="100" w:type="dxa"/>
              <w:start w:w="110" w:type="dxa"/>
              <w:bottom w:w="100" w:type="dxa"/>
              <w:end w:w="110" w:type="dxa"/>
            </w:tcMar>
          </w:tcPr>
          <w:p>
            <w:pPr>
              <w:jc w:val="left"/>
            </w:pPr>
            <w:r>
              <w:t>If acceptance fails, stop, preserve evidence, roll back code, and follow the database recovery decision. Never improvise destructive data reversal.</w:t>
            </w:r>
          </w:p>
        </w:tc>
        <w:tc>
          <w:tcPr>
            <w:tcW w:type="dxa" w:w="3672"/>
            <w:shd w:fill="EFF4F8"/>
            <w:vAlign w:val="center"/>
            <w:tcMar>
              <w:top w:w="100" w:type="dxa"/>
              <w:start w:w="110" w:type="dxa"/>
              <w:bottom w:w="100" w:type="dxa"/>
              <w:end w:w="110" w:type="dxa"/>
            </w:tcMar>
          </w:tcPr>
          <w:p>
            <w:pPr>
              <w:jc w:val="left"/>
            </w:pPr>
            <w:r>
              <w:t>Rollback or incident record</w:t>
            </w:r>
          </w:p>
        </w:tc>
      </w:tr>
    </w:tbl>
    <w:p>
      <w:pPr>
        <w:spacing w:after="20"/>
      </w:pPr>
    </w:p>
    <w:p>
      <w:pPr>
        <w:pStyle w:val="Heading1"/>
      </w:pPr>
      <w:r>
        <w:t>Exact commands</w:t>
      </w:r>
    </w:p>
    <w:p>
      <w:r>
        <w:t>Type these verbatim. Everything in this section has been run. A second person should be able to follow it without asking a question, which is the only reason it exists: on 12 September 2026 nobody except the technology seat could deploy, roll back, or restore, and the cutover is the worst moment for that to still be true.</w:t>
      </w:r>
    </w:p>
    <w:p>
      <w:r>
        <w:t>Before anything else, confirm which account and environment the shell is pointed at. Never deploy from a shell whose target you have not just checked.</w:t>
      </w:r>
    </w:p>
    <w:p>
      <w:pPr>
        <w:spacing w:after="40"/>
        <w:ind w:left="259"/>
      </w:pPr>
      <w:r>
        <w:rPr>
          <w:rFonts w:ascii="Cascadia Mono" w:hAnsi="Cascadia Mono" w:cs="Cascadia Mono"/>
          <w:sz w:val="18"/>
          <w:shd w:val="clear" w:fill="EFF4F8"/>
        </w:rPr>
        <w:t>cd /path/to/nexphaselabs.net</w:t>
      </w:r>
    </w:p>
    <w:p>
      <w:pPr>
        <w:spacing w:after="40"/>
        <w:ind w:left="259"/>
      </w:pPr>
      <w:r>
        <w:rPr>
          <w:rFonts w:ascii="Cascadia Mono" w:hAnsi="Cascadia Mono" w:cs="Cascadia Mono"/>
          <w:sz w:val="18"/>
          <w:shd w:val="clear" w:fill="EFF4F8"/>
        </w:rPr>
        <w:t>npx wrangler whoami                      # account and token scope</w:t>
      </w:r>
    </w:p>
    <w:p>
      <w:pPr>
        <w:spacing w:after="40"/>
        <w:ind w:left="259"/>
      </w:pPr>
      <w:r>
        <w:rPr>
          <w:rFonts w:ascii="Cascadia Mono" w:hAnsi="Cascadia Mono" w:cs="Cascadia Mono"/>
          <w:sz w:val="18"/>
          <w:shd w:val="clear" w:fill="EFF4F8"/>
        </w:rPr>
        <w:t>git status --porcelain                   # must be empty before a release</w:t>
      </w:r>
    </w:p>
    <w:p>
      <w:pPr>
        <w:spacing w:after="40"/>
        <w:ind w:left="259"/>
      </w:pPr>
      <w:r>
        <w:rPr>
          <w:rFonts w:ascii="Cascadia Mono" w:hAnsi="Cascadia Mono" w:cs="Cascadia Mono"/>
          <w:sz w:val="18"/>
          <w:shd w:val="clear" w:fill="EFF4F8"/>
        </w:rPr>
        <w:t>git log --oneline -3</w:t>
      </w:r>
    </w:p>
    <w:p>
      <w:pPr>
        <w:pStyle w:val="Heading2"/>
      </w:pPr>
      <w:r>
        <w:t>Deploy to staging</w:t>
      </w:r>
    </w:p>
    <w:p>
      <w:r>
        <w:t>Staging deploys from main. Pushing or merging to main is itself a deployment: the Deploy staging workflow runs checks, build, staging migrations, seed, deploy, and two smoke tests. Do it while someone is watching, never as a side effect of tidying up.</w:t>
      </w:r>
    </w:p>
    <w:p>
      <w:pPr>
        <w:spacing w:after="40"/>
        <w:ind w:left="259"/>
      </w:pPr>
      <w:r>
        <w:rPr>
          <w:rFonts w:ascii="Cascadia Mono" w:hAnsi="Cascadia Mono" w:cs="Cascadia Mono"/>
          <w:sz w:val="18"/>
          <w:shd w:val="clear" w:fill="EFF4F8"/>
        </w:rPr>
        <w:t>git checkout main &amp;&amp; git pull</w:t>
      </w:r>
    </w:p>
    <w:p>
      <w:pPr>
        <w:spacing w:after="40"/>
        <w:ind w:left="259"/>
      </w:pPr>
      <w:r>
        <w:rPr>
          <w:rFonts w:ascii="Cascadia Mono" w:hAnsi="Cascadia Mono" w:cs="Cascadia Mono"/>
          <w:sz w:val="18"/>
          <w:shd w:val="clear" w:fill="EFF4F8"/>
        </w:rPr>
        <w:t>git merge --no-ff &lt;branch&gt;               # this is a deployment</w:t>
      </w:r>
    </w:p>
    <w:p>
      <w:pPr>
        <w:spacing w:after="40"/>
        <w:ind w:left="259"/>
      </w:pPr>
      <w:r>
        <w:rPr>
          <w:rFonts w:ascii="Cascadia Mono" w:hAnsi="Cascadia Mono" w:cs="Cascadia Mono"/>
          <w:sz w:val="18"/>
          <w:shd w:val="clear" w:fill="EFF4F8"/>
        </w:rPr>
        <w:t>git push origin main                     # triggers .github/workflows/deploy-staging.yml</w:t>
      </w:r>
    </w:p>
    <w:p>
      <w:pPr>
        <w:spacing w:after="40"/>
        <w:ind w:left="259"/>
      </w:pPr>
      <w:r>
        <w:rPr>
          <w:rFonts w:ascii="Cascadia Mono" w:hAnsi="Cascadia Mono" w:cs="Cascadia Mono"/>
          <w:sz w:val="18"/>
          <w:shd w:val="clear" w:fill="EFF4F8"/>
        </w:rPr>
      </w:r>
    </w:p>
    <w:p>
      <w:pPr>
        <w:spacing w:after="40"/>
        <w:ind w:left="259"/>
      </w:pPr>
      <w:r>
        <w:rPr>
          <w:rFonts w:ascii="Cascadia Mono" w:hAnsi="Cascadia Mono" w:cs="Cascadia Mono"/>
          <w:sz w:val="18"/>
          <w:shd w:val="clear" w:fill="EFF4F8"/>
        </w:rPr>
        <w:t># watch it, and read the last two steps in particular</w:t>
      </w:r>
    </w:p>
    <w:p>
      <w:pPr>
        <w:spacing w:after="40"/>
        <w:ind w:left="259"/>
      </w:pPr>
      <w:r>
        <w:rPr>
          <w:rFonts w:ascii="Cascadia Mono" w:hAnsi="Cascadia Mono" w:cs="Cascadia Mono"/>
          <w:sz w:val="18"/>
          <w:shd w:val="clear" w:fill="EFF4F8"/>
        </w:rPr>
        <w:t>gh run watch</w:t>
      </w:r>
    </w:p>
    <w:p>
      <w:pPr>
        <w:spacing w:after="40"/>
        <w:ind w:left="259"/>
      </w:pPr>
      <w:r>
        <w:rPr>
          <w:rFonts w:ascii="Cascadia Mono" w:hAnsi="Cascadia Mono" w:cs="Cascadia Mono"/>
          <w:sz w:val="18"/>
          <w:shd w:val="clear" w:fill="EFF4F8"/>
        </w:rPr>
      </w:r>
    </w:p>
    <w:p>
      <w:pPr>
        <w:spacing w:after="40"/>
        <w:ind w:left="259"/>
      </w:pPr>
      <w:r>
        <w:rPr>
          <w:rFonts w:ascii="Cascadia Mono" w:hAnsi="Cascadia Mono" w:cs="Cascadia Mono"/>
          <w:sz w:val="18"/>
          <w:shd w:val="clear" w:fill="EFF4F8"/>
        </w:rPr>
        <w:t># the same thing by hand, if GitHub is unavailable</w:t>
      </w:r>
    </w:p>
    <w:p>
      <w:pPr>
        <w:spacing w:after="40"/>
        <w:ind w:left="259"/>
      </w:pPr>
      <w:r>
        <w:rPr>
          <w:rFonts w:ascii="Cascadia Mono" w:hAnsi="Cascadia Mono" w:cs="Cascadia Mono"/>
          <w:sz w:val="18"/>
          <w:shd w:val="clear" w:fill="EFF4F8"/>
        </w:rPr>
        <w:t>npm run check                            # typecheck, lint, tests, build</w:t>
      </w:r>
    </w:p>
    <w:p>
      <w:pPr>
        <w:spacing w:after="40"/>
        <w:ind w:left="259"/>
      </w:pPr>
      <w:r>
        <w:rPr>
          <w:rFonts w:ascii="Cascadia Mono" w:hAnsi="Cascadia Mono" w:cs="Cascadia Mono"/>
          <w:sz w:val="18"/>
          <w:shd w:val="clear" w:fill="EFF4F8"/>
        </w:rPr>
        <w:t>npm run db:migrate:staging</w:t>
      </w:r>
    </w:p>
    <w:p>
      <w:pPr>
        <w:spacing w:after="40"/>
        <w:ind w:left="259"/>
      </w:pPr>
      <w:r>
        <w:rPr>
          <w:rFonts w:ascii="Cascadia Mono" w:hAnsi="Cascadia Mono" w:cs="Cascadia Mono"/>
          <w:sz w:val="18"/>
          <w:shd w:val="clear" w:fill="EFF4F8"/>
        </w:rPr>
        <w:t>npm run deploy:staging                   # builds, runs the guard, deploys</w:t>
      </w:r>
    </w:p>
    <w:p>
      <w:r>
        <w:t>The deploy guard refuses to hand wrangler a build that does not target the environment named on the command line, and prints every field it checked. If it refuses, rebuild; never bypass it. The staging smoke steps then require the health endpoint to report ok and the storefront to answer 401 to an anonymous request. A 200 there means staging is open to the internet and the deploy has failed.</w:t>
      </w:r>
    </w:p>
    <w:p>
      <w:pPr>
        <w:pStyle w:val="Heading2"/>
      </w:pPr>
      <w:r>
        <w:t>Release to production</w:t>
      </w:r>
    </w:p>
    <w:p>
      <w:r>
        <w:t>A version tag is the only path to production. There is no other way in: the workflow refuses any run whose ref is not a v tag, and the guard refuses a local deploy unless HEAD is at a v tag with a clean tree.</w:t>
      </w:r>
    </w:p>
    <w:p>
      <w:pPr>
        <w:spacing w:after="40"/>
        <w:ind w:left="259"/>
      </w:pPr>
      <w:r>
        <w:rPr>
          <w:rFonts w:ascii="Cascadia Mono" w:hAnsi="Cascadia Mono" w:cs="Cascadia Mono"/>
          <w:sz w:val="18"/>
          <w:shd w:val="clear" w:fill="EFF4F8"/>
        </w:rPr>
        <w:t># release what is already green on staging</w:t>
      </w:r>
    </w:p>
    <w:p>
      <w:pPr>
        <w:spacing w:after="40"/>
        <w:ind w:left="259"/>
      </w:pPr>
      <w:r>
        <w:rPr>
          <w:rFonts w:ascii="Cascadia Mono" w:hAnsi="Cascadia Mono" w:cs="Cascadia Mono"/>
          <w:sz w:val="18"/>
          <w:shd w:val="clear" w:fill="EFF4F8"/>
        </w:rPr>
        <w:t>git checkout main &amp;&amp; git pull</w:t>
      </w:r>
    </w:p>
    <w:p>
      <w:pPr>
        <w:spacing w:after="40"/>
        <w:ind w:left="259"/>
      </w:pPr>
      <w:r>
        <w:rPr>
          <w:rFonts w:ascii="Cascadia Mono" w:hAnsi="Cascadia Mono" w:cs="Cascadia Mono"/>
          <w:sz w:val="18"/>
          <w:shd w:val="clear" w:fill="EFF4F8"/>
        </w:rPr>
        <w:t>git tag -a v1.2.3 -m "Launch release"</w:t>
      </w:r>
    </w:p>
    <w:p>
      <w:pPr>
        <w:spacing w:after="40"/>
        <w:ind w:left="259"/>
      </w:pPr>
      <w:r>
        <w:rPr>
          <w:rFonts w:ascii="Cascadia Mono" w:hAnsi="Cascadia Mono" w:cs="Cascadia Mono"/>
          <w:sz w:val="18"/>
          <w:shd w:val="clear" w:fill="EFF4F8"/>
        </w:rPr>
        <w:t>git push origin v1.2.3                   # triggers deploy-production.yml</w:t>
      </w:r>
    </w:p>
    <w:p>
      <w:pPr>
        <w:spacing w:after="40"/>
        <w:ind w:left="259"/>
      </w:pPr>
      <w:r>
        <w:rPr>
          <w:rFonts w:ascii="Cascadia Mono" w:hAnsi="Cascadia Mono" w:cs="Cascadia Mono"/>
          <w:sz w:val="18"/>
          <w:shd w:val="clear" w:fill="EFF4F8"/>
        </w:rPr>
        <w:t>gh run watch</w:t>
      </w:r>
    </w:p>
    <w:p>
      <w:pPr>
        <w:spacing w:after="40"/>
        <w:ind w:left="259"/>
      </w:pPr>
      <w:r>
        <w:rPr>
          <w:rFonts w:ascii="Cascadia Mono" w:hAnsi="Cascadia Mono" w:cs="Cascadia Mono"/>
          <w:sz w:val="18"/>
          <w:shd w:val="clear" w:fill="EFF4F8"/>
        </w:rPr>
      </w:r>
    </w:p>
    <w:p>
      <w:pPr>
        <w:spacing w:after="40"/>
        <w:ind w:left="259"/>
      </w:pPr>
      <w:r>
        <w:rPr>
          <w:rFonts w:ascii="Cascadia Mono" w:hAnsi="Cascadia Mono" w:cs="Cascadia Mono"/>
          <w:sz w:val="18"/>
          <w:shd w:val="clear" w:fill="EFF4F8"/>
        </w:rPr>
        <w:t># break glass only: GitHub unavailable, HEAD at the tag, clean tree</w:t>
      </w:r>
    </w:p>
    <w:p>
      <w:pPr>
        <w:spacing w:after="40"/>
        <w:ind w:left="259"/>
      </w:pPr>
      <w:r>
        <w:rPr>
          <w:rFonts w:ascii="Cascadia Mono" w:hAnsi="Cascadia Mono" w:cs="Cascadia Mono"/>
          <w:sz w:val="18"/>
          <w:shd w:val="clear" w:fill="EFF4F8"/>
        </w:rPr>
        <w:t>NX_CONFIRM_PRODUCTION=yes npm run deploy</w:t>
      </w:r>
    </w:p>
    <w:p>
      <w:pPr>
        <w:pStyle w:val="Heading2"/>
      </w:pPr>
      <w:r>
        <w:t>Roll back</w:t>
      </w:r>
    </w:p>
    <w:p>
      <w:r>
        <w:t>Code rolls back. Migrations do not: they are written to be backward compatible so the previous worker keeps running against the new schema. If a migration has made the data itself wrong, this is an incident and the database decision below applies, not a rollback.</w:t>
      </w:r>
    </w:p>
    <w:p>
      <w:pPr>
        <w:spacing w:after="40"/>
        <w:ind w:left="259"/>
      </w:pPr>
      <w:r>
        <w:rPr>
          <w:rFonts w:ascii="Cascadia Mono" w:hAnsi="Cascadia Mono" w:cs="Cascadia Mono"/>
          <w:sz w:val="18"/>
          <w:shd w:val="clear" w:fill="EFF4F8"/>
        </w:rPr>
        <w:t>npx wrangler deployments list                       # production</w:t>
      </w:r>
    </w:p>
    <w:p>
      <w:pPr>
        <w:spacing w:after="40"/>
        <w:ind w:left="259"/>
      </w:pPr>
      <w:r>
        <w:rPr>
          <w:rFonts w:ascii="Cascadia Mono" w:hAnsi="Cascadia Mono" w:cs="Cascadia Mono"/>
          <w:sz w:val="18"/>
          <w:shd w:val="clear" w:fill="EFF4F8"/>
        </w:rPr>
        <w:t>npx wrangler deployments list --env staging</w:t>
      </w:r>
    </w:p>
    <w:p>
      <w:pPr>
        <w:spacing w:after="40"/>
        <w:ind w:left="259"/>
      </w:pPr>
      <w:r>
        <w:rPr>
          <w:rFonts w:ascii="Cascadia Mono" w:hAnsi="Cascadia Mono" w:cs="Cascadia Mono"/>
          <w:sz w:val="18"/>
          <w:shd w:val="clear" w:fill="EFF4F8"/>
        </w:rPr>
        <w:t>npx wrangler rollback --message "Reason, case number"</w:t>
      </w:r>
    </w:p>
    <w:p>
      <w:pPr>
        <w:spacing w:after="40"/>
        <w:ind w:left="259"/>
      </w:pPr>
      <w:r>
        <w:rPr>
          <w:rFonts w:ascii="Cascadia Mono" w:hAnsi="Cascadia Mono" w:cs="Cascadia Mono"/>
          <w:sz w:val="18"/>
          <w:shd w:val="clear" w:fill="EFF4F8"/>
        </w:rPr>
        <w:t>npx wrangler rollback &lt;deployment-id&gt; --env staging</w:t>
      </w:r>
    </w:p>
    <w:p>
      <w:pPr>
        <w:spacing w:after="40"/>
        <w:ind w:left="259"/>
      </w:pPr>
      <w:r>
        <w:rPr>
          <w:rFonts w:ascii="Cascadia Mono" w:hAnsi="Cascadia Mono" w:cs="Cascadia Mono"/>
          <w:sz w:val="18"/>
          <w:shd w:val="clear" w:fill="EFF4F8"/>
        </w:rPr>
      </w:r>
    </w:p>
    <w:p>
      <w:pPr>
        <w:spacing w:after="40"/>
        <w:ind w:left="259"/>
      </w:pPr>
      <w:r>
        <w:rPr>
          <w:rFonts w:ascii="Cascadia Mono" w:hAnsi="Cascadia Mono" w:cs="Cascadia Mono"/>
          <w:sz w:val="18"/>
          <w:shd w:val="clear" w:fill="EFF4F8"/>
        </w:rPr>
        <w:t># prove the rollback landed</w:t>
      </w:r>
    </w:p>
    <w:p>
      <w:pPr>
        <w:spacing w:after="40"/>
        <w:ind w:left="259"/>
      </w:pPr>
      <w:r>
        <w:rPr>
          <w:rFonts w:ascii="Cascadia Mono" w:hAnsi="Cascadia Mono" w:cs="Cascadia Mono"/>
          <w:sz w:val="18"/>
          <w:shd w:val="clear" w:fill="EFF4F8"/>
        </w:rPr>
        <w:t>curl -fsS https://nexphaselabs.net/api/health</w:t>
      </w:r>
    </w:p>
    <w:p>
      <w:pPr>
        <w:spacing w:after="40"/>
        <w:ind w:left="259"/>
      </w:pPr>
      <w:r>
        <w:rPr>
          <w:rFonts w:ascii="Cascadia Mono" w:hAnsi="Cascadia Mono" w:cs="Cascadia Mono"/>
          <w:sz w:val="18"/>
          <w:shd w:val="clear" w:fill="EFF4F8"/>
        </w:rPr>
        <w:t>npx wrangler tail                                   # live log, Ctrl-C to stop</w:t>
      </w:r>
    </w:p>
    <w:p>
      <w:r>
        <w:t>Record the rollback in an operational case with the deployment identifier, the reason, who approved it, and what the health check said afterwards.</w:t>
      </w:r>
    </w:p>
    <w:p>
      <w:pPr>
        <w:pStyle w:val="Heading2"/>
      </w:pPr>
      <w:r>
        <w:t>Back up and restore</w:t>
      </w:r>
    </w:p>
    <w:p>
      <w:r>
        <w:t>One command runs the whole rehearsal, times every phase, and writes a report with a witness block. It checks credentials before it touches anything. Without R2 credentials the document half is skipped and the result is reported incomplete, because a database restored without its evidence files is not a recovery.</w:t>
      </w:r>
    </w:p>
    <w:p>
      <w:pPr>
        <w:spacing w:after="40"/>
        <w:ind w:left="259"/>
      </w:pPr>
      <w:r>
        <w:rPr>
          <w:rFonts w:ascii="Cascadia Mono" w:hAnsi="Cascadia Mono" w:cs="Cascadia Mono"/>
          <w:sz w:val="18"/>
          <w:shd w:val="clear" w:fill="EFF4F8"/>
        </w:rPr>
        <w:t>export CLOUDFLARE_API_TOKEN=...          # D1 Edit + R2 Edit, correct account</w:t>
      </w:r>
    </w:p>
    <w:p>
      <w:pPr>
        <w:spacing w:after="40"/>
        <w:ind w:left="259"/>
      </w:pPr>
      <w:r>
        <w:rPr>
          <w:rFonts w:ascii="Cascadia Mono" w:hAnsi="Cascadia Mono" w:cs="Cascadia Mono"/>
          <w:sz w:val="18"/>
          <w:shd w:val="clear" w:fill="EFF4F8"/>
        </w:rPr>
        <w:t>export R2_ACCESS_KEY_ID=...              # R2 S3 credentials</w:t>
      </w:r>
    </w:p>
    <w:p>
      <w:pPr>
        <w:spacing w:after="40"/>
        <w:ind w:left="259"/>
      </w:pPr>
      <w:r>
        <w:rPr>
          <w:rFonts w:ascii="Cascadia Mono" w:hAnsi="Cascadia Mono" w:cs="Cascadia Mono"/>
          <w:sz w:val="18"/>
          <w:shd w:val="clear" w:fill="EFF4F8"/>
        </w:rPr>
        <w:t>export R2_SECRET_ACCESS_KEY=...</w:t>
      </w:r>
    </w:p>
    <w:p>
      <w:pPr>
        <w:spacing w:after="40"/>
        <w:ind w:left="259"/>
      </w:pPr>
      <w:r>
        <w:rPr>
          <w:rFonts w:ascii="Cascadia Mono" w:hAnsi="Cascadia Mono" w:cs="Cascadia Mono"/>
          <w:sz w:val="18"/>
          <w:shd w:val="clear" w:fill="EFF4F8"/>
        </w:rPr>
      </w:r>
    </w:p>
    <w:p>
      <w:pPr>
        <w:spacing w:after="40"/>
        <w:ind w:left="259"/>
      </w:pPr>
      <w:r>
        <w:rPr>
          <w:rFonts w:ascii="Cascadia Mono" w:hAnsi="Cascadia Mono" w:cs="Cascadia Mono"/>
          <w:sz w:val="18"/>
          <w:shd w:val="clear" w:fill="EFF4F8"/>
        </w:rPr>
        <w:t>npm run ops:rehearsal:staging -- /absolute/private/recovery-dir</w:t>
      </w:r>
    </w:p>
    <w:p>
      <w:pPr>
        <w:spacing w:after="40"/>
        <w:ind w:left="259"/>
      </w:pPr>
      <w:r>
        <w:rPr>
          <w:rFonts w:ascii="Cascadia Mono" w:hAnsi="Cascadia Mono" w:cs="Cascadia Mono"/>
          <w:sz w:val="18"/>
          <w:shd w:val="clear" w:fill="EFF4F8"/>
        </w:rPr>
      </w:r>
    </w:p>
    <w:p>
      <w:pPr>
        <w:spacing w:after="40"/>
        <w:ind w:left="259"/>
      </w:pPr>
      <w:r>
        <w:rPr>
          <w:rFonts w:ascii="Cascadia Mono" w:hAnsi="Cascadia Mono" w:cs="Cascadia Mono"/>
          <w:sz w:val="18"/>
          <w:shd w:val="clear" w:fill="EFF4F8"/>
        </w:rPr>
        <w:t># production, inside an approved maintenance window only</w:t>
      </w:r>
    </w:p>
    <w:p>
      <w:pPr>
        <w:spacing w:after="40"/>
        <w:ind w:left="259"/>
      </w:pPr>
      <w:r>
        <w:rPr>
          <w:rFonts w:ascii="Cascadia Mono" w:hAnsi="Cascadia Mono" w:cs="Cascadia Mono"/>
          <w:sz w:val="18"/>
          <w:shd w:val="clear" w:fill="EFF4F8"/>
        </w:rPr>
        <w:t>NEXPHASE_CONFIRM_PRODUCTION_BACKUP=yes \</w:t>
      </w:r>
    </w:p>
    <w:p>
      <w:pPr>
        <w:spacing w:after="40"/>
        <w:ind w:left="259"/>
      </w:pPr>
      <w:r>
        <w:rPr>
          <w:rFonts w:ascii="Cascadia Mono" w:hAnsi="Cascadia Mono" w:cs="Cascadia Mono"/>
          <w:sz w:val="18"/>
          <w:shd w:val="clear" w:fill="EFF4F8"/>
        </w:rPr>
        <w:t xml:space="preserve">  npm run ops:rehearsal:production /absolute/private/recovery-dir</w:t>
      </w:r>
    </w:p>
    <w:p>
      <w:pPr>
        <w:spacing w:after="40"/>
        <w:ind w:left="259"/>
      </w:pPr>
      <w:r>
        <w:rPr>
          <w:rFonts w:ascii="Cascadia Mono" w:hAnsi="Cascadia Mono" w:cs="Cascadia Mono"/>
          <w:sz w:val="18"/>
          <w:shd w:val="clear" w:fill="EFF4F8"/>
        </w:rPr>
      </w:r>
    </w:p>
    <w:p>
      <w:pPr>
        <w:spacing w:after="40"/>
        <w:ind w:left="259"/>
      </w:pPr>
      <w:r>
        <w:rPr>
          <w:rFonts w:ascii="Cascadia Mono" w:hAnsi="Cascadia Mono" w:cs="Cascadia Mono"/>
          <w:sz w:val="18"/>
          <w:shd w:val="clear" w:fill="EFF4F8"/>
        </w:rPr>
        <w:t># the individual steps, if you need them separately</w:t>
      </w:r>
    </w:p>
    <w:p>
      <w:pPr>
        <w:spacing w:after="40"/>
        <w:ind w:left="259"/>
      </w:pPr>
      <w:r>
        <w:rPr>
          <w:rFonts w:ascii="Cascadia Mono" w:hAnsi="Cascadia Mono" w:cs="Cascadia Mono"/>
          <w:sz w:val="18"/>
          <w:shd w:val="clear" w:fill="EFF4F8"/>
        </w:rPr>
        <w:t>npm run ops:backup:staging -- /absolute/private/recovery-dir</w:t>
      </w:r>
    </w:p>
    <w:p>
      <w:pPr>
        <w:spacing w:after="40"/>
        <w:ind w:left="259"/>
      </w:pPr>
      <w:r>
        <w:rPr>
          <w:rFonts w:ascii="Cascadia Mono" w:hAnsi="Cascadia Mono" w:cs="Cascadia Mono"/>
          <w:sz w:val="18"/>
          <w:shd w:val="clear" w:fill="EFF4F8"/>
        </w:rPr>
        <w:t>npm run ops:restore:verify -- /absolute/private/recovery-dir/&lt;export&gt;.sql</w:t>
      </w:r>
    </w:p>
    <w:p>
      <w:r>
        <w:t>Authentication error 10000 means the token was rejected, not that the database is missing. Check that the token exists and has not expired, that it carries D1 Edit and R2 Edit, that it is scoped to the account holding the database, and that the shell really has it exported. The rehearsal reports this for you.</w:t>
      </w:r>
    </w:p>
    <w:p>
      <w:r>
        <w:t>Cloudflare Time Travel restores a D1 database to a point in the last thirty days. It is a data decision, not a technical one: it discards everything written since that timestamp. It requires the administrator's approval and an incident case, and the export above is taken first.</w:t>
      </w:r>
    </w:p>
    <w:p>
      <w:pPr>
        <w:spacing w:after="40"/>
        <w:ind w:left="259"/>
      </w:pPr>
      <w:r>
        <w:rPr>
          <w:rFonts w:ascii="Cascadia Mono" w:hAnsi="Cascadia Mono" w:cs="Cascadia Mono"/>
          <w:sz w:val="18"/>
          <w:shd w:val="clear" w:fill="EFF4F8"/>
        </w:rPr>
        <w:t>npx wrangler d1 time-travel info nexphase-labs</w:t>
      </w:r>
    </w:p>
    <w:p>
      <w:pPr>
        <w:spacing w:after="40"/>
        <w:ind w:left="259"/>
      </w:pPr>
      <w:r>
        <w:rPr>
          <w:rFonts w:ascii="Cascadia Mono" w:hAnsi="Cascadia Mono" w:cs="Cascadia Mono"/>
          <w:sz w:val="18"/>
          <w:shd w:val="clear" w:fill="EFF4F8"/>
        </w:rPr>
        <w:t>npx wrangler d1 time-travel restore nexphase-labs --timestamp &lt;ISO-8601&gt;</w:t>
      </w:r>
    </w:p>
    <w:p>
      <w:pPr>
        <w:pStyle w:val="Heading2"/>
      </w:pPr>
      <w:r>
        <w:t>Staging access</w:t>
      </w:r>
    </w:p>
    <w:p>
      <w:r>
        <w:t>The staging storefront is closed by password. Without the secret the environment refuses every request with 503 and the deploy smoke test fails, which is deliberate: a missing secret should be a broken deploy rather than an open shop.</w:t>
      </w:r>
    </w:p>
    <w:p>
      <w:pPr>
        <w:spacing w:after="40"/>
        <w:ind w:left="259"/>
      </w:pPr>
      <w:r>
        <w:rPr>
          <w:rFonts w:ascii="Cascadia Mono" w:hAnsi="Cascadia Mono" w:cs="Cascadia Mono"/>
          <w:sz w:val="18"/>
          <w:shd w:val="clear" w:fill="EFF4F8"/>
        </w:rPr>
        <w:t>npx wrangler secret put STAGING_ACCESS_PASSWORD --env staging</w:t>
      </w:r>
    </w:p>
    <w:p>
      <w:pPr>
        <w:spacing w:after="40"/>
        <w:ind w:left="259"/>
      </w:pPr>
      <w:r>
        <w:rPr>
          <w:rFonts w:ascii="Cascadia Mono" w:hAnsi="Cascadia Mono" w:cs="Cascadia Mono"/>
          <w:sz w:val="18"/>
          <w:shd w:val="clear" w:fill="EFF4F8"/>
        </w:rPr>
        <w:t>npx wrangler secret list --env staging</w:t>
      </w:r>
    </w:p>
    <w:p>
      <w:pPr>
        <w:spacing w:after="40"/>
        <w:ind w:left="259"/>
      </w:pPr>
      <w:r>
        <w:rPr>
          <w:rFonts w:ascii="Cascadia Mono" w:hAnsi="Cascadia Mono" w:cs="Cascadia Mono"/>
          <w:sz w:val="18"/>
          <w:shd w:val="clear" w:fill="EFF4F8"/>
        </w:rPr>
      </w:r>
    </w:p>
    <w:p>
      <w:pPr>
        <w:spacing w:after="40"/>
        <w:ind w:left="259"/>
      </w:pPr>
      <w:r>
        <w:rPr>
          <w:rFonts w:ascii="Cascadia Mono" w:hAnsi="Cascadia Mono" w:cs="Cascadia Mono"/>
          <w:sz w:val="18"/>
          <w:shd w:val="clear" w:fill="EFF4F8"/>
        </w:rPr>
        <w:t># prove it from outside, unauthenticated</w:t>
      </w:r>
    </w:p>
    <w:p>
      <w:pPr>
        <w:spacing w:after="40"/>
        <w:ind w:left="259"/>
      </w:pPr>
      <w:r>
        <w:rPr>
          <w:rFonts w:ascii="Cascadia Mono" w:hAnsi="Cascadia Mono" w:cs="Cascadia Mono"/>
          <w:sz w:val="18"/>
          <w:shd w:val="clear" w:fill="EFF4F8"/>
        </w:rPr>
        <w:t>curl -s -o /dev/null -w '%{http_code}\n' https://&lt;staging-host&gt;/     # expect 401</w:t>
      </w:r>
    </w:p>
    <w:p>
      <w:pPr>
        <w:spacing w:after="40"/>
        <w:ind w:left="259"/>
      </w:pPr>
      <w:r>
        <w:rPr>
          <w:rFonts w:ascii="Cascadia Mono" w:hAnsi="Cascadia Mono" w:cs="Cascadia Mono"/>
          <w:sz w:val="18"/>
          <w:shd w:val="clear" w:fill="EFF4F8"/>
        </w:rPr>
        <w:t>curl -sI https://&lt;staging-host&gt;/ | grep -i x-robots-tag              # expect noindex</w:t>
      </w:r>
    </w:p>
    <w:p>
      <w:pPr>
        <w:pStyle w:val="Heading1"/>
      </w:pPr>
      <w:r>
        <w:t>Where the credentials live</w:t>
      </w:r>
    </w:p>
    <w:p>
      <w:r>
        <w:t>Locations and who can obtain them. No value is ever written here, in any other manual, in a case, or in source. If a credential must be replaced, rotate it at the provider and set it again through the command that owns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tblHeader w:val="true"/>
        </w:trPr>
        <w:tc>
          <w:tcPr>
            <w:tcW w:type="dxa" w:w="2160"/>
            <w:shd w:fill="17365D"/>
            <w:vAlign w:val="center"/>
            <w:tcMar>
              <w:top w:w="100" w:type="dxa"/>
              <w:start w:w="110" w:type="dxa"/>
              <w:bottom w:w="100" w:type="dxa"/>
              <w:end w:w="110" w:type="dxa"/>
            </w:tcMar>
          </w:tcPr>
          <w:p>
            <w:pPr>
              <w:jc w:val="center"/>
            </w:pPr>
            <w:r>
              <w:rPr>
                <w:b/>
                <w:color w:val="FFFFFF"/>
                <w:sz w:val="18"/>
              </w:rPr>
              <w:t>Credential</w:t>
            </w:r>
          </w:p>
        </w:tc>
        <w:tc>
          <w:tcPr>
            <w:tcW w:type="dxa" w:w="3168"/>
            <w:shd w:fill="17365D"/>
            <w:vAlign w:val="center"/>
            <w:tcMar>
              <w:top w:w="100" w:type="dxa"/>
              <w:start w:w="110" w:type="dxa"/>
              <w:bottom w:w="100" w:type="dxa"/>
              <w:end w:w="110" w:type="dxa"/>
            </w:tcMar>
          </w:tcPr>
          <w:p>
            <w:pPr>
              <w:jc w:val="center"/>
            </w:pPr>
            <w:r>
              <w:rPr>
                <w:b/>
                <w:color w:val="FFFFFF"/>
                <w:sz w:val="18"/>
              </w:rPr>
              <w:t>Where it lives</w:t>
            </w:r>
          </w:p>
        </w:tc>
        <w:tc>
          <w:tcPr>
            <w:tcW w:type="dxa" w:w="2304"/>
            <w:shd w:fill="17365D"/>
            <w:vAlign w:val="center"/>
            <w:tcMar>
              <w:top w:w="100" w:type="dxa"/>
              <w:start w:w="110" w:type="dxa"/>
              <w:bottom w:w="100" w:type="dxa"/>
              <w:end w:w="110" w:type="dxa"/>
            </w:tcMar>
          </w:tcPr>
          <w:p>
            <w:pPr>
              <w:jc w:val="left"/>
            </w:pPr>
            <w:r>
              <w:rPr>
                <w:b/>
                <w:color w:val="FFFFFF"/>
                <w:sz w:val="18"/>
              </w:rPr>
              <w:t>Who can obtain it</w:t>
            </w:r>
          </w:p>
        </w:tc>
        <w:tc>
          <w:tcPr>
            <w:tcW w:type="dxa" w:w="2088"/>
            <w:shd w:fill="17365D"/>
            <w:vAlign w:val="center"/>
            <w:tcMar>
              <w:top w:w="100" w:type="dxa"/>
              <w:start w:w="110" w:type="dxa"/>
              <w:bottom w:w="100" w:type="dxa"/>
              <w:end w:w="110" w:type="dxa"/>
            </w:tcMar>
          </w:tcPr>
          <w:p>
            <w:pPr>
              <w:jc w:val="center"/>
            </w:pPr>
            <w:r>
              <w:rPr>
                <w:b/>
                <w:color w:val="FFFFFF"/>
                <w:sz w:val="18"/>
              </w:rPr>
              <w:t>Used by</w:t>
            </w:r>
          </w:p>
        </w:tc>
      </w:tr>
      <w:tr>
        <w:trPr>
          <w:cantSplit/>
        </w:trPr>
        <w:tc>
          <w:tcPr>
            <w:tcW w:type="dxa" w:w="2160"/>
            <w:vAlign w:val="center"/>
            <w:tcMar>
              <w:top w:w="100" w:type="dxa"/>
              <w:start w:w="110" w:type="dxa"/>
              <w:bottom w:w="100" w:type="dxa"/>
              <w:end w:w="110" w:type="dxa"/>
            </w:tcMar>
          </w:tcPr>
          <w:p>
            <w:pPr>
              <w:jc w:val="left"/>
            </w:pPr>
            <w:r>
              <w:t>Cloudflare account access</w:t>
            </w:r>
          </w:p>
        </w:tc>
        <w:tc>
          <w:tcPr>
            <w:tcW w:type="dxa" w:w="3168"/>
            <w:vAlign w:val="center"/>
            <w:tcMar>
              <w:top w:w="100" w:type="dxa"/>
              <w:start w:w="110" w:type="dxa"/>
              <w:bottom w:w="100" w:type="dxa"/>
              <w:end w:w="110" w:type="dxa"/>
            </w:tcMar>
          </w:tcPr>
          <w:p>
            <w:pPr>
              <w:jc w:val="left"/>
            </w:pPr>
            <w:r>
              <w:t>Cloudflare dashboard login with the account owner's own 2FA</w:t>
            </w:r>
          </w:p>
        </w:tc>
        <w:tc>
          <w:tcPr>
            <w:tcW w:type="dxa" w:w="2304"/>
            <w:vAlign w:val="center"/>
            <w:tcMar>
              <w:top w:w="100" w:type="dxa"/>
              <w:start w:w="110" w:type="dxa"/>
              <w:bottom w:w="100" w:type="dxa"/>
              <w:end w:w="110" w:type="dxa"/>
            </w:tcMar>
          </w:tcPr>
          <w:p>
            <w:pPr>
              <w:jc w:val="left"/>
            </w:pPr>
            <w:r>
              <w:t>Business and Systems lead</w:t>
            </w:r>
          </w:p>
        </w:tc>
        <w:tc>
          <w:tcPr>
            <w:tcW w:type="dxa" w:w="2088"/>
            <w:vAlign w:val="center"/>
            <w:tcMar>
              <w:top w:w="100" w:type="dxa"/>
              <w:start w:w="110" w:type="dxa"/>
              <w:bottom w:w="100" w:type="dxa"/>
              <w:end w:w="110" w:type="dxa"/>
            </w:tcMar>
          </w:tcPr>
          <w:p>
            <w:pPr>
              <w:jc w:val="left"/>
            </w:pPr>
            <w:r>
              <w:t>Every deploy, D1, R2, logs</w:t>
            </w:r>
          </w:p>
        </w:tc>
      </w:tr>
      <w:tr>
        <w:trPr>
          <w:cantSplit/>
        </w:trPr>
        <w:tc>
          <w:tcPr>
            <w:tcW w:type="dxa" w:w="2160"/>
            <w:shd w:fill="EFF4F8"/>
            <w:vAlign w:val="center"/>
            <w:tcMar>
              <w:top w:w="100" w:type="dxa"/>
              <w:start w:w="110" w:type="dxa"/>
              <w:bottom w:w="100" w:type="dxa"/>
              <w:end w:w="110" w:type="dxa"/>
            </w:tcMar>
          </w:tcPr>
          <w:p>
            <w:pPr>
              <w:jc w:val="center"/>
            </w:pPr>
            <w:r>
              <w:t>CLOUDFLARE_API_TOKEN</w:t>
            </w:r>
          </w:p>
        </w:tc>
        <w:tc>
          <w:tcPr>
            <w:tcW w:type="dxa" w:w="3168"/>
            <w:shd w:fill="EFF4F8"/>
            <w:vAlign w:val="center"/>
            <w:tcMar>
              <w:top w:w="100" w:type="dxa"/>
              <w:start w:w="110" w:type="dxa"/>
              <w:bottom w:w="100" w:type="dxa"/>
              <w:end w:w="110" w:type="dxa"/>
            </w:tcMar>
          </w:tcPr>
          <w:p>
            <w:pPr>
              <w:jc w:val="left"/>
            </w:pPr>
            <w:r>
              <w:t>GitHub repository secret, and the operator's own shell for manual runs</w:t>
            </w:r>
          </w:p>
        </w:tc>
        <w:tc>
          <w:tcPr>
            <w:tcW w:type="dxa" w:w="2304"/>
            <w:shd w:fill="EFF4F8"/>
            <w:vAlign w:val="center"/>
            <w:tcMar>
              <w:top w:w="100" w:type="dxa"/>
              <w:start w:w="110" w:type="dxa"/>
              <w:bottom w:w="100" w:type="dxa"/>
              <w:end w:w="110" w:type="dxa"/>
            </w:tcMar>
          </w:tcPr>
          <w:p>
            <w:pPr>
              <w:jc w:val="left"/>
            </w:pPr>
            <w:r>
              <w:t>Business and Systems lead, from the Cloudflare dashboard</w:t>
            </w:r>
          </w:p>
        </w:tc>
        <w:tc>
          <w:tcPr>
            <w:tcW w:type="dxa" w:w="2088"/>
            <w:shd w:fill="EFF4F8"/>
            <w:vAlign w:val="center"/>
            <w:tcMar>
              <w:top w:w="100" w:type="dxa"/>
              <w:start w:w="110" w:type="dxa"/>
              <w:bottom w:w="100" w:type="dxa"/>
              <w:end w:w="110" w:type="dxa"/>
            </w:tcMar>
          </w:tcPr>
          <w:p>
            <w:pPr>
              <w:jc w:val="left"/>
            </w:pPr>
            <w:r>
              <w:t>Both deploy workflows, D1 export</w:t>
            </w:r>
          </w:p>
        </w:tc>
      </w:tr>
      <w:tr>
        <w:trPr>
          <w:cantSplit/>
        </w:trPr>
        <w:tc>
          <w:tcPr>
            <w:tcW w:type="dxa" w:w="2160"/>
            <w:vAlign w:val="center"/>
            <w:tcMar>
              <w:top w:w="100" w:type="dxa"/>
              <w:start w:w="110" w:type="dxa"/>
              <w:bottom w:w="100" w:type="dxa"/>
              <w:end w:w="110" w:type="dxa"/>
            </w:tcMar>
          </w:tcPr>
          <w:p>
            <w:pPr>
              <w:jc w:val="center"/>
            </w:pPr>
            <w:r>
              <w:t>CLOUDFLARE_ACCOUNT_ID</w:t>
            </w:r>
          </w:p>
        </w:tc>
        <w:tc>
          <w:tcPr>
            <w:tcW w:type="dxa" w:w="3168"/>
            <w:vAlign w:val="center"/>
            <w:tcMar>
              <w:top w:w="100" w:type="dxa"/>
              <w:start w:w="110" w:type="dxa"/>
              <w:bottom w:w="100" w:type="dxa"/>
              <w:end w:w="110" w:type="dxa"/>
            </w:tcMar>
          </w:tcPr>
          <w:p>
            <w:pPr>
              <w:jc w:val="left"/>
            </w:pPr>
            <w:r>
              <w:t>GitHub repository secret and wrangler.jsonc (not secret)</w:t>
            </w:r>
          </w:p>
        </w:tc>
        <w:tc>
          <w:tcPr>
            <w:tcW w:type="dxa" w:w="2304"/>
            <w:vAlign w:val="center"/>
            <w:tcMar>
              <w:top w:w="100" w:type="dxa"/>
              <w:start w:w="110" w:type="dxa"/>
              <w:bottom w:w="100" w:type="dxa"/>
              <w:end w:w="110" w:type="dxa"/>
            </w:tcMar>
          </w:tcPr>
          <w:p>
            <w:pPr>
              <w:jc w:val="left"/>
            </w:pPr>
            <w:r>
              <w:t>Anyone with repository access</w:t>
            </w:r>
          </w:p>
        </w:tc>
        <w:tc>
          <w:tcPr>
            <w:tcW w:type="dxa" w:w="2088"/>
            <w:vAlign w:val="center"/>
            <w:tcMar>
              <w:top w:w="100" w:type="dxa"/>
              <w:start w:w="110" w:type="dxa"/>
              <w:bottom w:w="100" w:type="dxa"/>
              <w:end w:w="110" w:type="dxa"/>
            </w:tcMar>
          </w:tcPr>
          <w:p>
            <w:pPr>
              <w:jc w:val="center"/>
            </w:pPr>
            <w:r>
              <w:t>Deploy workflows</w:t>
            </w:r>
          </w:p>
        </w:tc>
      </w:tr>
      <w:tr>
        <w:trPr>
          <w:cantSplit/>
        </w:trPr>
        <w:tc>
          <w:tcPr>
            <w:tcW w:type="dxa" w:w="2160"/>
            <w:shd w:fill="EFF4F8"/>
            <w:vAlign w:val="center"/>
            <w:tcMar>
              <w:top w:w="100" w:type="dxa"/>
              <w:start w:w="110" w:type="dxa"/>
              <w:bottom w:w="100" w:type="dxa"/>
              <w:end w:w="110" w:type="dxa"/>
            </w:tcMar>
          </w:tcPr>
          <w:p>
            <w:pPr>
              <w:jc w:val="left"/>
            </w:pPr>
            <w:r>
              <w:t>R2 S3 access key and secret</w:t>
            </w:r>
          </w:p>
        </w:tc>
        <w:tc>
          <w:tcPr>
            <w:tcW w:type="dxa" w:w="3168"/>
            <w:shd w:fill="EFF4F8"/>
            <w:vAlign w:val="center"/>
            <w:tcMar>
              <w:top w:w="100" w:type="dxa"/>
              <w:start w:w="110" w:type="dxa"/>
              <w:bottom w:w="100" w:type="dxa"/>
              <w:end w:w="110" w:type="dxa"/>
            </w:tcMar>
          </w:tcPr>
          <w:p>
            <w:pPr>
              <w:jc w:val="left"/>
            </w:pPr>
            <w:r>
              <w:t>Cloudflare R2 API tokens page, held by the operator for a rehearsal</w:t>
            </w:r>
          </w:p>
        </w:tc>
        <w:tc>
          <w:tcPr>
            <w:tcW w:type="dxa" w:w="2304"/>
            <w:shd w:fill="EFF4F8"/>
            <w:vAlign w:val="center"/>
            <w:tcMar>
              <w:top w:w="100" w:type="dxa"/>
              <w:start w:w="110" w:type="dxa"/>
              <w:bottom w:w="100" w:type="dxa"/>
              <w:end w:w="110" w:type="dxa"/>
            </w:tcMar>
          </w:tcPr>
          <w:p>
            <w:pPr>
              <w:jc w:val="left"/>
            </w:pPr>
            <w:r>
              <w:t>Business and Systems lead</w:t>
            </w:r>
          </w:p>
        </w:tc>
        <w:tc>
          <w:tcPr>
            <w:tcW w:type="dxa" w:w="2088"/>
            <w:shd w:fill="EFF4F8"/>
            <w:vAlign w:val="center"/>
            <w:tcMar>
              <w:top w:w="100" w:type="dxa"/>
              <w:start w:w="110" w:type="dxa"/>
              <w:bottom w:w="100" w:type="dxa"/>
              <w:end w:w="110" w:type="dxa"/>
            </w:tcMar>
          </w:tcPr>
          <w:p>
            <w:pPr>
              <w:jc w:val="center"/>
            </w:pPr>
            <w:r>
              <w:t>Recovery rehearsal only</w:t>
            </w:r>
          </w:p>
        </w:tc>
      </w:tr>
      <w:tr>
        <w:trPr>
          <w:cantSplit/>
        </w:trPr>
        <w:tc>
          <w:tcPr>
            <w:tcW w:type="dxa" w:w="2160"/>
            <w:vAlign w:val="center"/>
            <w:tcMar>
              <w:top w:w="100" w:type="dxa"/>
              <w:start w:w="110" w:type="dxa"/>
              <w:bottom w:w="100" w:type="dxa"/>
              <w:end w:w="110" w:type="dxa"/>
            </w:tcMar>
          </w:tcPr>
          <w:p>
            <w:pPr>
              <w:jc w:val="center"/>
            </w:pPr>
            <w:r>
              <w:t>Worker secrets</w:t>
            </w:r>
          </w:p>
        </w:tc>
        <w:tc>
          <w:tcPr>
            <w:tcW w:type="dxa" w:w="3168"/>
            <w:vAlign w:val="center"/>
            <w:tcMar>
              <w:top w:w="100" w:type="dxa"/>
              <w:start w:w="110" w:type="dxa"/>
              <w:bottom w:w="100" w:type="dxa"/>
              <w:end w:w="110" w:type="dxa"/>
            </w:tcMar>
          </w:tcPr>
          <w:p>
            <w:pPr>
              <w:jc w:val="left"/>
            </w:pPr>
            <w:r>
              <w:t>Cloudflare Workers secret store, per environment, set by wrangler secret put</w:t>
            </w:r>
          </w:p>
        </w:tc>
        <w:tc>
          <w:tcPr>
            <w:tcW w:type="dxa" w:w="2304"/>
            <w:vAlign w:val="center"/>
            <w:tcMar>
              <w:top w:w="100" w:type="dxa"/>
              <w:start w:w="110" w:type="dxa"/>
              <w:bottom w:w="100" w:type="dxa"/>
              <w:end w:w="110" w:type="dxa"/>
            </w:tcMar>
          </w:tcPr>
          <w:p>
            <w:pPr>
              <w:jc w:val="left"/>
            </w:pPr>
            <w:r>
              <w:t>Business and Systems lead</w:t>
            </w:r>
          </w:p>
        </w:tc>
        <w:tc>
          <w:tcPr>
            <w:tcW w:type="dxa" w:w="2088"/>
            <w:vAlign w:val="center"/>
            <w:tcMar>
              <w:top w:w="100" w:type="dxa"/>
              <w:start w:w="110" w:type="dxa"/>
              <w:bottom w:w="100" w:type="dxa"/>
              <w:end w:w="110" w:type="dxa"/>
            </w:tcMar>
          </w:tcPr>
          <w:p>
            <w:pPr>
              <w:jc w:val="left"/>
            </w:pPr>
            <w:r>
              <w:t>Payments, email, Shippo, digest, staging access</w:t>
            </w:r>
          </w:p>
        </w:tc>
      </w:tr>
      <w:tr>
        <w:trPr>
          <w:cantSplit/>
        </w:trPr>
        <w:tc>
          <w:tcPr>
            <w:tcW w:type="dxa" w:w="2160"/>
            <w:shd w:fill="EFF4F8"/>
            <w:vAlign w:val="center"/>
            <w:tcMar>
              <w:top w:w="100" w:type="dxa"/>
              <w:start w:w="110" w:type="dxa"/>
              <w:bottom w:w="100" w:type="dxa"/>
              <w:end w:w="110" w:type="dxa"/>
            </w:tcMar>
          </w:tcPr>
          <w:p>
            <w:pPr>
              <w:jc w:val="center"/>
            </w:pPr>
            <w:r>
              <w:t>STAGING_ACCESS_PASSWORD</w:t>
            </w:r>
          </w:p>
        </w:tc>
        <w:tc>
          <w:tcPr>
            <w:tcW w:type="dxa" w:w="3168"/>
            <w:shd w:fill="EFF4F8"/>
            <w:vAlign w:val="center"/>
            <w:tcMar>
              <w:top w:w="100" w:type="dxa"/>
              <w:start w:w="110" w:type="dxa"/>
              <w:bottom w:w="100" w:type="dxa"/>
              <w:end w:w="110" w:type="dxa"/>
            </w:tcMar>
          </w:tcPr>
          <w:p>
            <w:pPr>
              <w:jc w:val="left"/>
            </w:pPr>
            <w:r>
              <w:t>Worker secret on the staging environment; shared with testers through the approved password manager</w:t>
            </w:r>
          </w:p>
        </w:tc>
        <w:tc>
          <w:tcPr>
            <w:tcW w:type="dxa" w:w="2304"/>
            <w:shd w:fill="EFF4F8"/>
            <w:vAlign w:val="center"/>
            <w:tcMar>
              <w:top w:w="100" w:type="dxa"/>
              <w:start w:w="110" w:type="dxa"/>
              <w:bottom w:w="100" w:type="dxa"/>
              <w:end w:w="110" w:type="dxa"/>
            </w:tcMar>
          </w:tcPr>
          <w:p>
            <w:pPr>
              <w:jc w:val="left"/>
            </w:pPr>
            <w:r>
              <w:t>Business and Systems lead</w:t>
            </w:r>
          </w:p>
        </w:tc>
        <w:tc>
          <w:tcPr>
            <w:tcW w:type="dxa" w:w="2088"/>
            <w:shd w:fill="EFF4F8"/>
            <w:vAlign w:val="center"/>
            <w:tcMar>
              <w:top w:w="100" w:type="dxa"/>
              <w:start w:w="110" w:type="dxa"/>
              <w:bottom w:w="100" w:type="dxa"/>
              <w:end w:w="110" w:type="dxa"/>
            </w:tcMar>
          </w:tcPr>
          <w:p>
            <w:pPr>
              <w:jc w:val="left"/>
            </w:pPr>
            <w:r>
              <w:t>Staging storefront access</w:t>
            </w:r>
          </w:p>
        </w:tc>
      </w:tr>
      <w:tr>
        <w:trPr>
          <w:cantSplit/>
        </w:trPr>
        <w:tc>
          <w:tcPr>
            <w:tcW w:type="dxa" w:w="2160"/>
            <w:vAlign w:val="center"/>
            <w:tcMar>
              <w:top w:w="100" w:type="dxa"/>
              <w:start w:w="110" w:type="dxa"/>
              <w:bottom w:w="100" w:type="dxa"/>
              <w:end w:w="110" w:type="dxa"/>
            </w:tcMar>
          </w:tcPr>
          <w:p>
            <w:pPr>
              <w:jc w:val="left"/>
            </w:pPr>
            <w:r>
              <w:t>Google Workspace sending credentials</w:t>
            </w:r>
          </w:p>
        </w:tc>
        <w:tc>
          <w:tcPr>
            <w:tcW w:type="dxa" w:w="3168"/>
            <w:vAlign w:val="center"/>
            <w:tcMar>
              <w:top w:w="100" w:type="dxa"/>
              <w:start w:w="110" w:type="dxa"/>
              <w:bottom w:w="100" w:type="dxa"/>
              <w:end w:w="110" w:type="dxa"/>
            </w:tcMar>
          </w:tcPr>
          <w:p>
            <w:pPr>
              <w:jc w:val="left"/>
            </w:pPr>
            <w:r>
              <w:t>Workspace admin console and the Worker secret store</w:t>
            </w:r>
          </w:p>
        </w:tc>
        <w:tc>
          <w:tcPr>
            <w:tcW w:type="dxa" w:w="2304"/>
            <w:vAlign w:val="center"/>
            <w:tcMar>
              <w:top w:w="100" w:type="dxa"/>
              <w:start w:w="110" w:type="dxa"/>
              <w:bottom w:w="100" w:type="dxa"/>
              <w:end w:w="110" w:type="dxa"/>
            </w:tcMar>
          </w:tcPr>
          <w:p>
            <w:pPr>
              <w:jc w:val="left"/>
            </w:pPr>
            <w:r>
              <w:t>Business and Systems lead</w:t>
            </w:r>
          </w:p>
        </w:tc>
        <w:tc>
          <w:tcPr>
            <w:tcW w:type="dxa" w:w="2088"/>
            <w:vAlign w:val="center"/>
            <w:tcMar>
              <w:top w:w="100" w:type="dxa"/>
              <w:start w:w="110" w:type="dxa"/>
              <w:bottom w:w="100" w:type="dxa"/>
              <w:end w:w="110" w:type="dxa"/>
            </w:tcMar>
          </w:tcPr>
          <w:p>
            <w:pPr>
              <w:jc w:val="center"/>
            </w:pPr>
            <w:r>
              <w:t>Customer email</w:t>
            </w:r>
          </w:p>
        </w:tc>
      </w:tr>
      <w:tr>
        <w:trPr>
          <w:cantSplit/>
        </w:trPr>
        <w:tc>
          <w:tcPr>
            <w:tcW w:type="dxa" w:w="2160"/>
            <w:shd w:fill="EFF4F8"/>
            <w:vAlign w:val="center"/>
            <w:tcMar>
              <w:top w:w="100" w:type="dxa"/>
              <w:start w:w="110" w:type="dxa"/>
              <w:bottom w:w="100" w:type="dxa"/>
              <w:end w:w="110" w:type="dxa"/>
            </w:tcMar>
          </w:tcPr>
          <w:p>
            <w:pPr>
              <w:jc w:val="center"/>
            </w:pPr>
            <w:r>
              <w:t>Shippo API key</w:t>
            </w:r>
          </w:p>
        </w:tc>
        <w:tc>
          <w:tcPr>
            <w:tcW w:type="dxa" w:w="3168"/>
            <w:shd w:fill="EFF4F8"/>
            <w:vAlign w:val="center"/>
            <w:tcMar>
              <w:top w:w="100" w:type="dxa"/>
              <w:start w:w="110" w:type="dxa"/>
              <w:bottom w:w="100" w:type="dxa"/>
              <w:end w:w="110" w:type="dxa"/>
            </w:tcMar>
          </w:tcPr>
          <w:p>
            <w:pPr>
              <w:jc w:val="left"/>
            </w:pPr>
            <w:r>
              <w:t>Shippo dashboard and the Worker secret store</w:t>
            </w:r>
          </w:p>
        </w:tc>
        <w:tc>
          <w:tcPr>
            <w:tcW w:type="dxa" w:w="2304"/>
            <w:shd w:fill="EFF4F8"/>
            <w:vAlign w:val="center"/>
            <w:tcMar>
              <w:top w:w="100" w:type="dxa"/>
              <w:start w:w="110" w:type="dxa"/>
              <w:bottom w:w="100" w:type="dxa"/>
              <w:end w:w="110" w:type="dxa"/>
            </w:tcMar>
          </w:tcPr>
          <w:p>
            <w:pPr>
              <w:jc w:val="left"/>
            </w:pPr>
            <w:r>
              <w:t>Business and Systems lead</w:t>
            </w:r>
          </w:p>
        </w:tc>
        <w:tc>
          <w:tcPr>
            <w:tcW w:type="dxa" w:w="2088"/>
            <w:shd w:fill="EFF4F8"/>
            <w:vAlign w:val="center"/>
            <w:tcMar>
              <w:top w:w="100" w:type="dxa"/>
              <w:start w:w="110" w:type="dxa"/>
              <w:bottom w:w="100" w:type="dxa"/>
              <w:end w:w="110" w:type="dxa"/>
            </w:tcMar>
          </w:tcPr>
          <w:p>
            <w:pPr>
              <w:jc w:val="center"/>
            </w:pPr>
            <w:r>
              <w:t>Rates, labels, tracking</w:t>
            </w:r>
          </w:p>
        </w:tc>
      </w:tr>
      <w:tr>
        <w:trPr>
          <w:cantSplit/>
        </w:trPr>
        <w:tc>
          <w:tcPr>
            <w:tcW w:type="dxa" w:w="2160"/>
            <w:vAlign w:val="center"/>
            <w:tcMar>
              <w:top w:w="100" w:type="dxa"/>
              <w:start w:w="110" w:type="dxa"/>
              <w:bottom w:w="100" w:type="dxa"/>
              <w:end w:w="110" w:type="dxa"/>
            </w:tcMar>
          </w:tcPr>
          <w:p>
            <w:pPr>
              <w:jc w:val="left"/>
            </w:pPr>
            <w:r>
              <w:t>Payment provider credentials</w:t>
            </w:r>
          </w:p>
        </w:tc>
        <w:tc>
          <w:tcPr>
            <w:tcW w:type="dxa" w:w="3168"/>
            <w:vAlign w:val="center"/>
            <w:tcMar>
              <w:top w:w="100" w:type="dxa"/>
              <w:start w:w="110" w:type="dxa"/>
              <w:bottom w:w="100" w:type="dxa"/>
              <w:end w:w="110" w:type="dxa"/>
            </w:tcMar>
          </w:tcPr>
          <w:p>
            <w:pPr>
              <w:jc w:val="left"/>
            </w:pPr>
            <w:r>
              <w:t>Provider dashboard and the Worker secret store</w:t>
            </w:r>
          </w:p>
        </w:tc>
        <w:tc>
          <w:tcPr>
            <w:tcW w:type="dxa" w:w="2304"/>
            <w:vAlign w:val="center"/>
            <w:tcMar>
              <w:top w:w="100" w:type="dxa"/>
              <w:start w:w="110" w:type="dxa"/>
              <w:bottom w:w="100" w:type="dxa"/>
              <w:end w:w="110" w:type="dxa"/>
            </w:tcMar>
          </w:tcPr>
          <w:p>
            <w:pPr>
              <w:jc w:val="left"/>
            </w:pPr>
            <w:r>
              <w:t>Business and Systems lead with banking owner approval</w:t>
            </w:r>
          </w:p>
        </w:tc>
        <w:tc>
          <w:tcPr>
            <w:tcW w:type="dxa" w:w="2088"/>
            <w:vAlign w:val="center"/>
            <w:tcMar>
              <w:top w:w="100" w:type="dxa"/>
              <w:start w:w="110" w:type="dxa"/>
              <w:bottom w:w="100" w:type="dxa"/>
              <w:end w:w="110" w:type="dxa"/>
            </w:tcMar>
          </w:tcPr>
          <w:p>
            <w:pPr>
              <w:jc w:val="center"/>
            </w:pPr>
            <w:r>
              <w:t>Checkout and refunds</w:t>
            </w:r>
          </w:p>
        </w:tc>
      </w:tr>
      <w:tr>
        <w:trPr>
          <w:cantSplit/>
        </w:trPr>
        <w:tc>
          <w:tcPr>
            <w:tcW w:type="dxa" w:w="2160"/>
            <w:shd w:fill="EFF4F8"/>
            <w:vAlign w:val="center"/>
            <w:tcMar>
              <w:top w:w="100" w:type="dxa"/>
              <w:start w:w="110" w:type="dxa"/>
              <w:bottom w:w="100" w:type="dxa"/>
              <w:end w:w="110" w:type="dxa"/>
            </w:tcMar>
          </w:tcPr>
          <w:p>
            <w:pPr>
              <w:jc w:val="center"/>
            </w:pPr>
            <w:r>
              <w:t>Domain and DNS</w:t>
            </w:r>
          </w:p>
        </w:tc>
        <w:tc>
          <w:tcPr>
            <w:tcW w:type="dxa" w:w="3168"/>
            <w:shd w:fill="EFF4F8"/>
            <w:vAlign w:val="center"/>
            <w:tcMar>
              <w:top w:w="100" w:type="dxa"/>
              <w:start w:w="110" w:type="dxa"/>
              <w:bottom w:w="100" w:type="dxa"/>
              <w:end w:w="110" w:type="dxa"/>
            </w:tcMar>
          </w:tcPr>
          <w:p>
            <w:pPr>
              <w:jc w:val="left"/>
            </w:pPr>
            <w:r>
              <w:t>Registrar and Cloudflare DNS</w:t>
            </w:r>
          </w:p>
        </w:tc>
        <w:tc>
          <w:tcPr>
            <w:tcW w:type="dxa" w:w="2304"/>
            <w:shd w:fill="EFF4F8"/>
            <w:vAlign w:val="center"/>
            <w:tcMar>
              <w:top w:w="100" w:type="dxa"/>
              <w:start w:w="110" w:type="dxa"/>
              <w:bottom w:w="100" w:type="dxa"/>
              <w:end w:w="110" w:type="dxa"/>
            </w:tcMar>
          </w:tcPr>
          <w:p>
            <w:pPr>
              <w:jc w:val="left"/>
            </w:pPr>
            <w:r>
              <w:t>Business and Systems lead</w:t>
            </w:r>
          </w:p>
        </w:tc>
        <w:tc>
          <w:tcPr>
            <w:tcW w:type="dxa" w:w="2088"/>
            <w:shd w:fill="EFF4F8"/>
            <w:vAlign w:val="center"/>
            <w:tcMar>
              <w:top w:w="100" w:type="dxa"/>
              <w:start w:w="110" w:type="dxa"/>
              <w:bottom w:w="100" w:type="dxa"/>
              <w:end w:w="110" w:type="dxa"/>
            </w:tcMar>
          </w:tcPr>
          <w:p>
            <w:pPr>
              <w:jc w:val="center"/>
            </w:pPr>
            <w:r>
              <w:t>Cutover</w:t>
            </w:r>
          </w:p>
        </w:tc>
      </w:tr>
    </w:tbl>
    <w:p>
      <w:pPr>
        <w:spacing w:after="20"/>
      </w:pPr>
    </w:p>
    <w:p>
      <w:r>
        <w:t>A second person cannot obtain these today. Until a named fallback exists with their own access, a single unavailable person is a single point of failure for deployment and recovery. Record the fallback and their access path here when it is agreed.</w:t>
      </w:r>
    </w:p>
    <w:p>
      <w:pPr>
        <w:pStyle w:val="Heading1"/>
      </w:pPr>
      <w:r>
        <w:t>Provider activation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2088"/>
            <w:shd w:fill="17365D"/>
            <w:vAlign w:val="center"/>
            <w:tcMar>
              <w:top w:w="100" w:type="dxa"/>
              <w:start w:w="110" w:type="dxa"/>
              <w:bottom w:w="100" w:type="dxa"/>
              <w:end w:w="110" w:type="dxa"/>
            </w:tcMar>
          </w:tcPr>
          <w:p>
            <w:pPr>
              <w:jc w:val="center"/>
            </w:pPr>
            <w:r>
              <w:rPr>
                <w:b/>
                <w:color w:val="FFFFFF"/>
                <w:sz w:val="18"/>
              </w:rPr>
              <w:t>Provider area</w:t>
            </w:r>
          </w:p>
        </w:tc>
        <w:tc>
          <w:tcPr>
            <w:tcW w:type="dxa" w:w="4392"/>
            <w:shd w:fill="17365D"/>
            <w:vAlign w:val="center"/>
            <w:tcMar>
              <w:top w:w="100" w:type="dxa"/>
              <w:start w:w="110" w:type="dxa"/>
              <w:bottom w:w="100" w:type="dxa"/>
              <w:end w:w="110" w:type="dxa"/>
            </w:tcMar>
          </w:tcPr>
          <w:p>
            <w:pPr>
              <w:jc w:val="left"/>
            </w:pPr>
            <w:r>
              <w:rPr>
                <w:b/>
                <w:color w:val="FFFFFF"/>
                <w:sz w:val="18"/>
              </w:rPr>
              <w:t>Required staging evidence</w:t>
            </w:r>
          </w:p>
        </w:tc>
        <w:tc>
          <w:tcPr>
            <w:tcW w:type="dxa" w:w="3240"/>
            <w:shd w:fill="17365D"/>
            <w:vAlign w:val="center"/>
            <w:tcMar>
              <w:top w:w="100" w:type="dxa"/>
              <w:start w:w="110" w:type="dxa"/>
              <w:bottom w:w="100" w:type="dxa"/>
              <w:end w:w="110" w:type="dxa"/>
            </w:tcMar>
          </w:tcPr>
          <w:p>
            <w:pPr>
              <w:jc w:val="center"/>
            </w:pPr>
            <w:r>
              <w:rPr>
                <w:b/>
                <w:color w:val="FFFFFF"/>
                <w:sz w:val="18"/>
              </w:rPr>
              <w:t>Production gate</w:t>
            </w:r>
          </w:p>
        </w:tc>
      </w:tr>
      <w:tr>
        <w:trPr>
          <w:cantSplit/>
        </w:trPr>
        <w:tc>
          <w:tcPr>
            <w:tcW w:type="dxa" w:w="2088"/>
            <w:vAlign w:val="center"/>
            <w:tcMar>
              <w:top w:w="100" w:type="dxa"/>
              <w:start w:w="110" w:type="dxa"/>
              <w:bottom w:w="100" w:type="dxa"/>
              <w:end w:w="110" w:type="dxa"/>
            </w:tcMar>
          </w:tcPr>
          <w:p>
            <w:pPr>
              <w:jc w:val="left"/>
            </w:pPr>
            <w:r>
              <w:t>USPS UPS FedEx through Shippo</w:t>
            </w:r>
          </w:p>
        </w:tc>
        <w:tc>
          <w:tcPr>
            <w:tcW w:type="dxa" w:w="4392"/>
            <w:vAlign w:val="center"/>
            <w:tcMar>
              <w:top w:w="100" w:type="dxa"/>
              <w:start w:w="110" w:type="dxa"/>
              <w:bottom w:w="100" w:type="dxa"/>
              <w:end w:w="110" w:type="dxa"/>
            </w:tcMar>
          </w:tcPr>
          <w:p>
            <w:pPr>
              <w:jc w:val="left"/>
            </w:pPr>
            <w:r>
              <w:t>Named origins, approved parcels and services, sandbox rates, one label, refund reconciliation, replacement after void, tracking, dangerous goods decision</w:t>
            </w:r>
          </w:p>
        </w:tc>
        <w:tc>
          <w:tcPr>
            <w:tcW w:type="dxa" w:w="3240"/>
            <w:vAlign w:val="center"/>
            <w:tcMar>
              <w:top w:w="100" w:type="dxa"/>
              <w:start w:w="110" w:type="dxa"/>
              <w:bottom w:w="100" w:type="dxa"/>
              <w:end w:w="110" w:type="dxa"/>
            </w:tcMar>
          </w:tcPr>
          <w:p>
            <w:pPr>
              <w:jc w:val="left"/>
            </w:pPr>
            <w:r>
              <w:t>Carrier accounts, each origin, service policy, return and handoff procedure approved</w:t>
            </w:r>
          </w:p>
        </w:tc>
      </w:tr>
      <w:tr>
        <w:trPr>
          <w:cantSplit/>
        </w:trPr>
        <w:tc>
          <w:tcPr>
            <w:tcW w:type="dxa" w:w="2088"/>
            <w:shd w:fill="EFF4F8"/>
            <w:vAlign w:val="center"/>
            <w:tcMar>
              <w:top w:w="100" w:type="dxa"/>
              <w:start w:w="110" w:type="dxa"/>
              <w:bottom w:w="100" w:type="dxa"/>
              <w:end w:w="110" w:type="dxa"/>
            </w:tcMar>
          </w:tcPr>
          <w:p>
            <w:pPr>
              <w:jc w:val="left"/>
            </w:pPr>
            <w:r>
              <w:t>Payment</w:t>
            </w:r>
          </w:p>
        </w:tc>
        <w:tc>
          <w:tcPr>
            <w:tcW w:type="dxa" w:w="4392"/>
            <w:shd w:fill="EFF4F8"/>
            <w:vAlign w:val="center"/>
            <w:tcMar>
              <w:top w:w="100" w:type="dxa"/>
              <w:start w:w="110" w:type="dxa"/>
              <w:bottom w:w="100" w:type="dxa"/>
              <w:end w:w="110" w:type="dxa"/>
            </w:tcMar>
          </w:tcPr>
          <w:p>
            <w:pPr>
              <w:jc w:val="left"/>
            </w:pPr>
            <w:r>
              <w:t>Invoice or payment creation, webhook or reconciliation, failure recovery, refund, settlement match</w:t>
            </w:r>
          </w:p>
        </w:tc>
        <w:tc>
          <w:tcPr>
            <w:tcW w:type="dxa" w:w="3240"/>
            <w:shd w:fill="EFF4F8"/>
            <w:vAlign w:val="center"/>
            <w:tcMar>
              <w:top w:w="100" w:type="dxa"/>
              <w:start w:w="110" w:type="dxa"/>
              <w:bottom w:w="100" w:type="dxa"/>
              <w:end w:w="110" w:type="dxa"/>
            </w:tcMar>
          </w:tcPr>
          <w:p>
            <w:pPr>
              <w:jc w:val="left"/>
            </w:pPr>
            <w:r>
              <w:t>Banking owner approves account, credentials, refund and reconciliation policy</w:t>
            </w:r>
          </w:p>
        </w:tc>
      </w:tr>
      <w:tr>
        <w:trPr>
          <w:cantSplit/>
        </w:trPr>
        <w:tc>
          <w:tcPr>
            <w:tcW w:type="dxa" w:w="2088"/>
            <w:vAlign w:val="center"/>
            <w:tcMar>
              <w:top w:w="100" w:type="dxa"/>
              <w:start w:w="110" w:type="dxa"/>
              <w:bottom w:w="100" w:type="dxa"/>
              <w:end w:w="110" w:type="dxa"/>
            </w:tcMar>
          </w:tcPr>
          <w:p>
            <w:pPr>
              <w:jc w:val="left"/>
            </w:pPr>
            <w:r>
              <w:t>Tax</w:t>
            </w:r>
          </w:p>
        </w:tc>
        <w:tc>
          <w:tcPr>
            <w:tcW w:type="dxa" w:w="4392"/>
            <w:vAlign w:val="center"/>
            <w:tcMar>
              <w:top w:w="100" w:type="dxa"/>
              <w:start w:w="110" w:type="dxa"/>
              <w:bottom w:w="100" w:type="dxa"/>
              <w:end w:w="110" w:type="dxa"/>
            </w:tcMar>
          </w:tcPr>
          <w:p>
            <w:pPr>
              <w:jc w:val="left"/>
            </w:pPr>
            <w:r>
              <w:t>Representative address calculations, exemptions where applicable, error behavior, report mapping</w:t>
            </w:r>
          </w:p>
        </w:tc>
        <w:tc>
          <w:tcPr>
            <w:tcW w:type="dxa" w:w="3240"/>
            <w:vAlign w:val="center"/>
            <w:tcMar>
              <w:top w:w="100" w:type="dxa"/>
              <w:start w:w="110" w:type="dxa"/>
              <w:bottom w:w="100" w:type="dxa"/>
              <w:end w:w="110" w:type="dxa"/>
            </w:tcMar>
          </w:tcPr>
          <w:p>
            <w:pPr>
              <w:jc w:val="left"/>
            </w:pPr>
            <w:r>
              <w:t>CPA or tax adviser approves nexus, taxability, filing owner, and configuration</w:t>
            </w:r>
          </w:p>
        </w:tc>
      </w:tr>
      <w:tr>
        <w:trPr>
          <w:cantSplit/>
        </w:trPr>
        <w:tc>
          <w:tcPr>
            <w:tcW w:type="dxa" w:w="2088"/>
            <w:shd w:fill="EFF4F8"/>
            <w:vAlign w:val="center"/>
            <w:tcMar>
              <w:top w:w="100" w:type="dxa"/>
              <w:start w:w="110" w:type="dxa"/>
              <w:bottom w:w="100" w:type="dxa"/>
              <w:end w:w="110" w:type="dxa"/>
            </w:tcMar>
          </w:tcPr>
          <w:p>
            <w:pPr>
              <w:jc w:val="left"/>
            </w:pPr>
            <w:r>
              <w:t>Email</w:t>
            </w:r>
          </w:p>
        </w:tc>
        <w:tc>
          <w:tcPr>
            <w:tcW w:type="dxa" w:w="4392"/>
            <w:shd w:fill="EFF4F8"/>
            <w:vAlign w:val="center"/>
            <w:tcMar>
              <w:top w:w="100" w:type="dxa"/>
              <w:start w:w="110" w:type="dxa"/>
              <w:bottom w:w="100" w:type="dxa"/>
              <w:end w:w="110" w:type="dxa"/>
            </w:tcMar>
          </w:tcPr>
          <w:p>
            <w:pPr>
              <w:jc w:val="left"/>
            </w:pPr>
            <w:r>
              <w:t>Approved sender, inbox delivery, bounce or failure, durable retry, manual recovery</w:t>
            </w:r>
          </w:p>
        </w:tc>
        <w:tc>
          <w:tcPr>
            <w:tcW w:type="dxa" w:w="3240"/>
            <w:shd w:fill="EFF4F8"/>
            <w:vAlign w:val="center"/>
            <w:tcMar>
              <w:top w:w="100" w:type="dxa"/>
              <w:start w:w="110" w:type="dxa"/>
              <w:bottom w:w="100" w:type="dxa"/>
              <w:end w:w="110" w:type="dxa"/>
            </w:tcMar>
          </w:tcPr>
          <w:p>
            <w:pPr>
              <w:jc w:val="left"/>
            </w:pPr>
            <w:r>
              <w:t>Domain authentication, recipients, retention, and support ownership approved</w:t>
            </w:r>
          </w:p>
        </w:tc>
      </w:tr>
    </w:tbl>
    <w:p>
      <w:pPr>
        <w:spacing w:after="20"/>
      </w:pPr>
    </w:p>
    <w:p>
      <w:r>
        <w:t>USPS is implemented through the existing Shippo rate and label boundary. Staff select a named ship from location before quoting, and the origin remains in quote and label history. Enable only approved USPS services and accurate packed dimensions. Record delivery only from carrier evidence. USPS commercial Ground Advantage rules require dimensions in applicable cases, and hazardous material rules remain the shipper’s responsibility.</w:t>
      </w:r>
    </w:p>
    <w:p>
      <w:r>
        <w:t>Label cancellation uses one durable refund claim. The application sends one Shippo refund request, blocks shipment replacement and order cancellation while the outcome is pending or uncertain, and reconciles through a read only refund lookup. If the refund response is interrupted before an identifier returns, Check refund status searches existing refunds by transaction without creating another. A replacement label is allowed only after the prior label is confirmed voided, and every label remains in order history.</w:t>
      </w:r>
    </w:p>
    <w:p>
      <w:pPr>
        <w:pStyle w:val="Heading1"/>
      </w:pPr>
      <w:r>
        <w:t>Health monitoring</w:t>
      </w:r>
    </w:p>
    <w:p>
      <w:pPr>
        <w:pStyle w:val="ListBullet"/>
      </w:pPr>
      <w:r>
        <w:t>Monitor the health endpoint for complete database schema access and document store availability without exposing business data.</w:t>
      </w:r>
    </w:p>
    <w:p>
      <w:pPr>
        <w:pStyle w:val="ListBullet"/>
      </w:pPr>
      <w:r>
        <w:t>Monitor failed customer notices, payment attempts, shipping quote and label errors, and critical or overdue operational cases.</w:t>
      </w:r>
    </w:p>
    <w:p>
      <w:pPr>
        <w:pStyle w:val="ListBullet"/>
      </w:pPr>
      <w:r>
        <w:t>A healthy endpoint proves technical access at that moment. It does not prove inventory, provider settlement, legal approval, backup recovery, or launch readiness.</w:t>
      </w:r>
    </w:p>
    <w:p>
      <w:pPr>
        <w:pStyle w:val="ListBullet"/>
      </w:pPr>
      <w:r>
        <w:t>Open an incident when health is unavailable, schema probes fail, documents cannot be retrieved, or state may be incomplete.</w:t>
      </w:r>
    </w:p>
    <w:p>
      <w:pPr>
        <w:pStyle w:val="Heading1"/>
      </w:pPr>
      <w:r>
        <w:t>Database backup and restore rehearsal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Create a dedicated encrypted backup directory outside the repository.</w:t>
            </w:r>
          </w:p>
        </w:tc>
        <w:tc>
          <w:tcPr>
            <w:tcW w:type="dxa" w:w="3672"/>
            <w:vAlign w:val="center"/>
            <w:tcMar>
              <w:top w:w="100" w:type="dxa"/>
              <w:start w:w="110" w:type="dxa"/>
              <w:bottom w:w="100" w:type="dxa"/>
              <w:end w:w="110" w:type="dxa"/>
            </w:tcMar>
          </w:tcPr>
          <w:p>
            <w:pPr>
              <w:jc w:val="left"/>
            </w:pPr>
            <w:r>
              <w:t>Restricted destination</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Run the staging D1 backup script with the absolute directory path.</w:t>
            </w:r>
          </w:p>
        </w:tc>
        <w:tc>
          <w:tcPr>
            <w:tcW w:type="dxa" w:w="3672"/>
            <w:shd w:fill="EFF4F8"/>
            <w:vAlign w:val="center"/>
            <w:tcMar>
              <w:top w:w="100" w:type="dxa"/>
              <w:start w:w="110" w:type="dxa"/>
              <w:bottom w:w="100" w:type="dxa"/>
              <w:end w:w="110" w:type="dxa"/>
            </w:tcMar>
          </w:tcPr>
          <w:p>
            <w:pPr>
              <w:jc w:val="left"/>
            </w:pPr>
            <w:r>
              <w:t>SQL export and checksum manifest</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Run the restore verification script against the export.</w:t>
            </w:r>
          </w:p>
        </w:tc>
        <w:tc>
          <w:tcPr>
            <w:tcW w:type="dxa" w:w="3672"/>
            <w:vAlign w:val="center"/>
            <w:tcMar>
              <w:top w:w="100" w:type="dxa"/>
              <w:start w:w="110" w:type="dxa"/>
              <w:bottom w:w="100" w:type="dxa"/>
              <w:end w:w="110" w:type="dxa"/>
            </w:tcMar>
          </w:tcPr>
          <w:p>
            <w:pPr>
              <w:jc w:val="left"/>
            </w:pPr>
            <w:r>
              <w:t>Integrity ok, no foreign key violations, required tables present</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Copy the R2 bucket through approved read only S3 credentials to the dated recovery directory and save an object manifest.</w:t>
            </w:r>
          </w:p>
        </w:tc>
        <w:tc>
          <w:tcPr>
            <w:tcW w:type="dxa" w:w="3672"/>
            <w:shd w:fill="EFF4F8"/>
            <w:vAlign w:val="center"/>
            <w:tcMar>
              <w:top w:w="100" w:type="dxa"/>
              <w:start w:w="110" w:type="dxa"/>
              <w:bottom w:w="100" w:type="dxa"/>
              <w:end w:w="110" w:type="dxa"/>
            </w:tcMar>
          </w:tcPr>
          <w:p>
            <w:pPr>
              <w:jc w:val="left"/>
            </w:pPr>
            <w:r>
              <w:t>Complete object copy</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Restore to a new isolated rehearsal bucket and compare count, bytes, and representative object checksums.</w:t>
            </w:r>
          </w:p>
        </w:tc>
        <w:tc>
          <w:tcPr>
            <w:tcW w:type="dxa" w:w="3672"/>
            <w:vAlign w:val="center"/>
            <w:tcMar>
              <w:top w:w="100" w:type="dxa"/>
              <w:start w:w="110" w:type="dxa"/>
              <w:bottom w:w="100" w:type="dxa"/>
              <w:end w:w="110" w:type="dxa"/>
            </w:tcMar>
          </w:tcPr>
          <w:p>
            <w:pPr>
              <w:jc w:val="left"/>
            </w:pPr>
            <w:r>
              <w:t>R2 recovery evidence</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Verify authorized and unauthorized document retrieval against disposable isolated bindings.</w:t>
            </w:r>
          </w:p>
        </w:tc>
        <w:tc>
          <w:tcPr>
            <w:tcW w:type="dxa" w:w="3672"/>
            <w:shd w:fill="EFF4F8"/>
            <w:vAlign w:val="center"/>
            <w:tcMar>
              <w:top w:w="100" w:type="dxa"/>
              <w:start w:w="110" w:type="dxa"/>
              <w:bottom w:w="100" w:type="dxa"/>
              <w:end w:w="110" w:type="dxa"/>
            </w:tcMar>
          </w:tcPr>
          <w:p>
            <w:pPr>
              <w:jc w:val="left"/>
            </w:pPr>
            <w:r>
              <w:t>Access behavior evidence</w:t>
            </w:r>
          </w:p>
        </w:tc>
      </w:tr>
      <w:tr>
        <w:trPr>
          <w:cantSplit/>
        </w:trPr>
        <w:tc>
          <w:tcPr>
            <w:tcW w:type="dxa" w:w="792"/>
            <w:vAlign w:val="center"/>
            <w:tcMar>
              <w:top w:w="100" w:type="dxa"/>
              <w:start w:w="110" w:type="dxa"/>
              <w:bottom w:w="100" w:type="dxa"/>
              <w:end w:w="110" w:type="dxa"/>
            </w:tcMar>
          </w:tcPr>
          <w:p>
            <w:pPr>
              <w:jc w:val="center"/>
            </w:pPr>
            <w:r>
              <w:t>7</w:t>
            </w:r>
          </w:p>
        </w:tc>
        <w:tc>
          <w:tcPr>
            <w:tcW w:type="dxa" w:w="5256"/>
            <w:vAlign w:val="center"/>
            <w:tcMar>
              <w:top w:w="100" w:type="dxa"/>
              <w:start w:w="110" w:type="dxa"/>
              <w:bottom w:w="100" w:type="dxa"/>
              <w:end w:w="110" w:type="dxa"/>
            </w:tcMar>
          </w:tcPr>
          <w:p>
            <w:pPr>
              <w:jc w:val="left"/>
            </w:pPr>
            <w:r>
              <w:t>Record elapsed time, results, reviewer, exceptions, and the next rehearsal date in Operating Controls.</w:t>
            </w:r>
          </w:p>
        </w:tc>
        <w:tc>
          <w:tcPr>
            <w:tcW w:type="dxa" w:w="3672"/>
            <w:vAlign w:val="center"/>
            <w:tcMar>
              <w:top w:w="100" w:type="dxa"/>
              <w:start w:w="110" w:type="dxa"/>
              <w:bottom w:w="100" w:type="dxa"/>
              <w:end w:w="110" w:type="dxa"/>
            </w:tcMar>
          </w:tcPr>
          <w:p>
            <w:pPr>
              <w:jc w:val="left"/>
            </w:pPr>
            <w:r>
              <w:t>Reviewed continuity control</w:t>
            </w:r>
          </w:p>
        </w:tc>
      </w:tr>
    </w:tbl>
    <w:p>
      <w:pPr>
        <w:spacing w:after="20"/>
      </w:pPr>
    </w:p>
    <w:p>
      <w:r>
        <w:t>Use node scripts d1 backup with staging and the private output directory. Production export requires the explicit production confirmation environment value and an approved maintenance window. A rehearsal must never import into the source database or overwrite the source bucket.</w:t>
      </w:r>
    </w:p>
    <w:p>
      <w:pPr>
        <w:pStyle w:val="Heading1"/>
      </w:pPr>
      <w:r>
        <w:t>Incident response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tblHeader w:val="true"/>
        </w:trPr>
        <w:tc>
          <w:tcPr>
            <w:tcW w:type="dxa" w:w="792"/>
            <w:shd w:fill="17365D"/>
            <w:vAlign w:val="center"/>
            <w:tcMar>
              <w:top w:w="100" w:type="dxa"/>
              <w:start w:w="110" w:type="dxa"/>
              <w:bottom w:w="100" w:type="dxa"/>
              <w:end w:w="110" w:type="dxa"/>
            </w:tcMar>
          </w:tcPr>
          <w:p>
            <w:pPr>
              <w:jc w:val="center"/>
            </w:pPr>
            <w:r>
              <w:rPr>
                <w:b/>
                <w:color w:val="FFFFFF"/>
                <w:sz w:val="18"/>
              </w:rPr>
              <w:t>Step</w:t>
            </w:r>
          </w:p>
        </w:tc>
        <w:tc>
          <w:tcPr>
            <w:tcW w:type="dxa" w:w="5256"/>
            <w:shd w:fill="17365D"/>
            <w:vAlign w:val="center"/>
            <w:tcMar>
              <w:top w:w="100" w:type="dxa"/>
              <w:start w:w="110" w:type="dxa"/>
              <w:bottom w:w="100" w:type="dxa"/>
              <w:end w:w="110" w:type="dxa"/>
            </w:tcMar>
          </w:tcPr>
          <w:p>
            <w:pPr>
              <w:jc w:val="center"/>
            </w:pPr>
            <w:r>
              <w:rPr>
                <w:b/>
                <w:color w:val="FFFFFF"/>
                <w:sz w:val="18"/>
              </w:rPr>
              <w:t>Action</w:t>
            </w:r>
          </w:p>
        </w:tc>
        <w:tc>
          <w:tcPr>
            <w:tcW w:type="dxa" w:w="3672"/>
            <w:shd w:fill="17365D"/>
            <w:vAlign w:val="center"/>
            <w:tcMar>
              <w:top w:w="100" w:type="dxa"/>
              <w:start w:w="110" w:type="dxa"/>
              <w:bottom w:w="100" w:type="dxa"/>
              <w:end w:w="110" w:type="dxa"/>
            </w:tcMar>
          </w:tcPr>
          <w:p>
            <w:pPr>
              <w:jc w:val="center"/>
            </w:pPr>
            <w:r>
              <w:rPr>
                <w:b/>
                <w:color w:val="FFFFFF"/>
                <w:sz w:val="18"/>
              </w:rPr>
              <w:t>Expected record</w:t>
            </w:r>
          </w:p>
        </w:tc>
      </w:tr>
      <w:tr>
        <w:trPr>
          <w:cantSplit/>
        </w:trPr>
        <w:tc>
          <w:tcPr>
            <w:tcW w:type="dxa" w:w="792"/>
            <w:vAlign w:val="center"/>
            <w:tcMar>
              <w:top w:w="100" w:type="dxa"/>
              <w:start w:w="110" w:type="dxa"/>
              <w:bottom w:w="100" w:type="dxa"/>
              <w:end w:w="110" w:type="dxa"/>
            </w:tcMar>
          </w:tcPr>
          <w:p>
            <w:pPr>
              <w:jc w:val="center"/>
            </w:pPr>
            <w:r>
              <w:t>1</w:t>
            </w:r>
          </w:p>
        </w:tc>
        <w:tc>
          <w:tcPr>
            <w:tcW w:type="dxa" w:w="5256"/>
            <w:vAlign w:val="center"/>
            <w:tcMar>
              <w:top w:w="100" w:type="dxa"/>
              <w:start w:w="110" w:type="dxa"/>
              <w:bottom w:w="100" w:type="dxa"/>
              <w:end w:w="110" w:type="dxa"/>
            </w:tcMar>
          </w:tcPr>
          <w:p>
            <w:pPr>
              <w:jc w:val="left"/>
            </w:pPr>
            <w:r>
              <w:t>Confirm the signal and open an incident case with severity, owner, due date, and known systems or records.</w:t>
            </w:r>
          </w:p>
        </w:tc>
        <w:tc>
          <w:tcPr>
            <w:tcW w:type="dxa" w:w="3672"/>
            <w:vAlign w:val="center"/>
            <w:tcMar>
              <w:top w:w="100" w:type="dxa"/>
              <w:start w:w="110" w:type="dxa"/>
              <w:bottom w:w="100" w:type="dxa"/>
              <w:end w:w="110" w:type="dxa"/>
            </w:tcMar>
          </w:tcPr>
          <w:p>
            <w:pPr>
              <w:jc w:val="left"/>
            </w:pPr>
            <w:r>
              <w:t>Incident case</w:t>
            </w:r>
          </w:p>
        </w:tc>
      </w:tr>
      <w:tr>
        <w:trPr>
          <w:cantSplit/>
        </w:trPr>
        <w:tc>
          <w:tcPr>
            <w:tcW w:type="dxa" w:w="792"/>
            <w:shd w:fill="EFF4F8"/>
            <w:vAlign w:val="center"/>
            <w:tcMar>
              <w:top w:w="100" w:type="dxa"/>
              <w:start w:w="110" w:type="dxa"/>
              <w:bottom w:w="100" w:type="dxa"/>
              <w:end w:w="110" w:type="dxa"/>
            </w:tcMar>
          </w:tcPr>
          <w:p>
            <w:pPr>
              <w:jc w:val="center"/>
            </w:pPr>
            <w:r>
              <w:t>2</w:t>
            </w:r>
          </w:p>
        </w:tc>
        <w:tc>
          <w:tcPr>
            <w:tcW w:type="dxa" w:w="5256"/>
            <w:shd w:fill="EFF4F8"/>
            <w:vAlign w:val="center"/>
            <w:tcMar>
              <w:top w:w="100" w:type="dxa"/>
              <w:start w:w="110" w:type="dxa"/>
              <w:bottom w:w="100" w:type="dxa"/>
              <w:end w:w="110" w:type="dxa"/>
            </w:tcMar>
          </w:tcPr>
          <w:p>
            <w:pPr>
              <w:jc w:val="left"/>
            </w:pPr>
            <w:r>
              <w:t>Contain high or critical impact. Stop affected provider, deployment, shipment, release, or customer action when needed.</w:t>
            </w:r>
          </w:p>
        </w:tc>
        <w:tc>
          <w:tcPr>
            <w:tcW w:type="dxa" w:w="3672"/>
            <w:shd w:fill="EFF4F8"/>
            <w:vAlign w:val="center"/>
            <w:tcMar>
              <w:top w:w="100" w:type="dxa"/>
              <w:start w:w="110" w:type="dxa"/>
              <w:bottom w:w="100" w:type="dxa"/>
              <w:end w:w="110" w:type="dxa"/>
            </w:tcMar>
          </w:tcPr>
          <w:p>
            <w:pPr>
              <w:jc w:val="left"/>
            </w:pPr>
            <w:r>
              <w:t>Containment record</w:t>
            </w:r>
          </w:p>
        </w:tc>
      </w:tr>
      <w:tr>
        <w:trPr>
          <w:cantSplit/>
        </w:trPr>
        <w:tc>
          <w:tcPr>
            <w:tcW w:type="dxa" w:w="792"/>
            <w:vAlign w:val="center"/>
            <w:tcMar>
              <w:top w:w="100" w:type="dxa"/>
              <w:start w:w="110" w:type="dxa"/>
              <w:bottom w:w="100" w:type="dxa"/>
              <w:end w:w="110" w:type="dxa"/>
            </w:tcMar>
          </w:tcPr>
          <w:p>
            <w:pPr>
              <w:jc w:val="center"/>
            </w:pPr>
            <w:r>
              <w:t>3</w:t>
            </w:r>
          </w:p>
        </w:tc>
        <w:tc>
          <w:tcPr>
            <w:tcW w:type="dxa" w:w="5256"/>
            <w:vAlign w:val="center"/>
            <w:tcMar>
              <w:top w:w="100" w:type="dxa"/>
              <w:start w:w="110" w:type="dxa"/>
              <w:bottom w:w="100" w:type="dxa"/>
              <w:end w:w="110" w:type="dxa"/>
            </w:tcMar>
          </w:tcPr>
          <w:p>
            <w:pPr>
              <w:jc w:val="left"/>
            </w:pPr>
            <w:r>
              <w:t>Preserve logs, timestamps, configuration identifiers, checksums, and affected record numbers without copying secrets into the case.</w:t>
            </w:r>
          </w:p>
        </w:tc>
        <w:tc>
          <w:tcPr>
            <w:tcW w:type="dxa" w:w="3672"/>
            <w:vAlign w:val="center"/>
            <w:tcMar>
              <w:top w:w="100" w:type="dxa"/>
              <w:start w:w="110" w:type="dxa"/>
              <w:bottom w:w="100" w:type="dxa"/>
              <w:end w:w="110" w:type="dxa"/>
            </w:tcMar>
          </w:tcPr>
          <w:p>
            <w:pPr>
              <w:jc w:val="left"/>
            </w:pPr>
            <w:r>
              <w:t>Evidence link</w:t>
            </w:r>
          </w:p>
        </w:tc>
      </w:tr>
      <w:tr>
        <w:trPr>
          <w:cantSplit/>
        </w:trPr>
        <w:tc>
          <w:tcPr>
            <w:tcW w:type="dxa" w:w="792"/>
            <w:shd w:fill="EFF4F8"/>
            <w:vAlign w:val="center"/>
            <w:tcMar>
              <w:top w:w="100" w:type="dxa"/>
              <w:start w:w="110" w:type="dxa"/>
              <w:bottom w:w="100" w:type="dxa"/>
              <w:end w:w="110" w:type="dxa"/>
            </w:tcMar>
          </w:tcPr>
          <w:p>
            <w:pPr>
              <w:jc w:val="center"/>
            </w:pPr>
            <w:r>
              <w:t>4</w:t>
            </w:r>
          </w:p>
        </w:tc>
        <w:tc>
          <w:tcPr>
            <w:tcW w:type="dxa" w:w="5256"/>
            <w:shd w:fill="EFF4F8"/>
            <w:vAlign w:val="center"/>
            <w:tcMar>
              <w:top w:w="100" w:type="dxa"/>
              <w:start w:w="110" w:type="dxa"/>
              <w:bottom w:w="100" w:type="dxa"/>
              <w:end w:w="110" w:type="dxa"/>
            </w:tcMar>
          </w:tcPr>
          <w:p>
            <w:pPr>
              <w:jc w:val="left"/>
            </w:pPr>
            <w:r>
              <w:t>Notify authorized operations, quality, commercial, legal, or privacy owners according to impact.</w:t>
            </w:r>
          </w:p>
        </w:tc>
        <w:tc>
          <w:tcPr>
            <w:tcW w:type="dxa" w:w="3672"/>
            <w:shd w:fill="EFF4F8"/>
            <w:vAlign w:val="center"/>
            <w:tcMar>
              <w:top w:w="100" w:type="dxa"/>
              <w:start w:w="110" w:type="dxa"/>
              <w:bottom w:w="100" w:type="dxa"/>
              <w:end w:w="110" w:type="dxa"/>
            </w:tcMar>
          </w:tcPr>
          <w:p>
            <w:pPr>
              <w:jc w:val="left"/>
            </w:pPr>
            <w:r>
              <w:t>Communication history</w:t>
            </w:r>
          </w:p>
        </w:tc>
      </w:tr>
      <w:tr>
        <w:trPr>
          <w:cantSplit/>
        </w:trPr>
        <w:tc>
          <w:tcPr>
            <w:tcW w:type="dxa" w:w="792"/>
            <w:vAlign w:val="center"/>
            <w:tcMar>
              <w:top w:w="100" w:type="dxa"/>
              <w:start w:w="110" w:type="dxa"/>
              <w:bottom w:w="100" w:type="dxa"/>
              <w:end w:w="110" w:type="dxa"/>
            </w:tcMar>
          </w:tcPr>
          <w:p>
            <w:pPr>
              <w:jc w:val="center"/>
            </w:pPr>
            <w:r>
              <w:t>5</w:t>
            </w:r>
          </w:p>
        </w:tc>
        <w:tc>
          <w:tcPr>
            <w:tcW w:type="dxa" w:w="5256"/>
            <w:vAlign w:val="center"/>
            <w:tcMar>
              <w:top w:w="100" w:type="dxa"/>
              <w:start w:w="110" w:type="dxa"/>
              <w:bottom w:w="100" w:type="dxa"/>
              <w:end w:w="110" w:type="dxa"/>
            </w:tcMar>
          </w:tcPr>
          <w:p>
            <w:pPr>
              <w:jc w:val="left"/>
            </w:pPr>
            <w:r>
              <w:t>Recover through the approved rollback, provider recovery, or isolated restore path. Verify data and access before reopening service.</w:t>
            </w:r>
          </w:p>
        </w:tc>
        <w:tc>
          <w:tcPr>
            <w:tcW w:type="dxa" w:w="3672"/>
            <w:vAlign w:val="center"/>
            <w:tcMar>
              <w:top w:w="100" w:type="dxa"/>
              <w:start w:w="110" w:type="dxa"/>
              <w:bottom w:w="100" w:type="dxa"/>
              <w:end w:w="110" w:type="dxa"/>
            </w:tcMar>
          </w:tcPr>
          <w:p>
            <w:pPr>
              <w:jc w:val="left"/>
            </w:pPr>
            <w:r>
              <w:t>Recovery evidence</w:t>
            </w:r>
          </w:p>
        </w:tc>
      </w:tr>
      <w:tr>
        <w:trPr>
          <w:cantSplit/>
        </w:trPr>
        <w:tc>
          <w:tcPr>
            <w:tcW w:type="dxa" w:w="792"/>
            <w:shd w:fill="EFF4F8"/>
            <w:vAlign w:val="center"/>
            <w:tcMar>
              <w:top w:w="100" w:type="dxa"/>
              <w:start w:w="110" w:type="dxa"/>
              <w:bottom w:w="100" w:type="dxa"/>
              <w:end w:w="110" w:type="dxa"/>
            </w:tcMar>
          </w:tcPr>
          <w:p>
            <w:pPr>
              <w:jc w:val="center"/>
            </w:pPr>
            <w:r>
              <w:t>6</w:t>
            </w:r>
          </w:p>
        </w:tc>
        <w:tc>
          <w:tcPr>
            <w:tcW w:type="dxa" w:w="5256"/>
            <w:shd w:fill="EFF4F8"/>
            <w:vAlign w:val="center"/>
            <w:tcMar>
              <w:top w:w="100" w:type="dxa"/>
              <w:start w:w="110" w:type="dxa"/>
              <w:bottom w:w="100" w:type="dxa"/>
              <w:end w:w="110" w:type="dxa"/>
            </w:tcMar>
          </w:tcPr>
          <w:p>
            <w:pPr>
              <w:jc w:val="left"/>
            </w:pPr>
            <w:r>
              <w:t>Record root cause, corrective and preventive actions, then perform an effectiveness check.</w:t>
            </w:r>
          </w:p>
        </w:tc>
        <w:tc>
          <w:tcPr>
            <w:tcW w:type="dxa" w:w="3672"/>
            <w:shd w:fill="EFF4F8"/>
            <w:vAlign w:val="center"/>
            <w:tcMar>
              <w:top w:w="100" w:type="dxa"/>
              <w:start w:w="110" w:type="dxa"/>
              <w:bottom w:w="100" w:type="dxa"/>
              <w:end w:w="110" w:type="dxa"/>
            </w:tcMar>
          </w:tcPr>
          <w:p>
            <w:pPr>
              <w:jc w:val="left"/>
            </w:pPr>
            <w:r>
              <w:t>CAPA record</w:t>
            </w:r>
          </w:p>
        </w:tc>
      </w:tr>
      <w:tr>
        <w:trPr>
          <w:cantSplit/>
        </w:trPr>
        <w:tc>
          <w:tcPr>
            <w:tcW w:type="dxa" w:w="792"/>
            <w:vAlign w:val="center"/>
            <w:tcMar>
              <w:top w:w="100" w:type="dxa"/>
              <w:start w:w="110" w:type="dxa"/>
              <w:bottom w:w="100" w:type="dxa"/>
              <w:end w:w="110" w:type="dxa"/>
            </w:tcMar>
          </w:tcPr>
          <w:p>
            <w:pPr>
              <w:jc w:val="center"/>
            </w:pPr>
            <w:r>
              <w:t>7</w:t>
            </w:r>
          </w:p>
        </w:tc>
        <w:tc>
          <w:tcPr>
            <w:tcW w:type="dxa" w:w="5256"/>
            <w:vAlign w:val="center"/>
            <w:tcMar>
              <w:top w:w="100" w:type="dxa"/>
              <w:start w:w="110" w:type="dxa"/>
              <w:bottom w:w="100" w:type="dxa"/>
              <w:end w:w="110" w:type="dxa"/>
            </w:tcMar>
          </w:tcPr>
          <w:p>
            <w:pPr>
              <w:jc w:val="left"/>
            </w:pPr>
            <w:r>
              <w:t>Administrator reviews closure. Update controls, monitoring, tests, and manuals when the corrective action changes operation.</w:t>
            </w:r>
          </w:p>
        </w:tc>
        <w:tc>
          <w:tcPr>
            <w:tcW w:type="dxa" w:w="3672"/>
            <w:vAlign w:val="center"/>
            <w:tcMar>
              <w:top w:w="100" w:type="dxa"/>
              <w:start w:w="110" w:type="dxa"/>
              <w:bottom w:w="100" w:type="dxa"/>
              <w:end w:w="110" w:type="dxa"/>
            </w:tcMar>
          </w:tcPr>
          <w:p>
            <w:pPr>
              <w:jc w:val="left"/>
            </w:pPr>
            <w:r>
              <w:t>Closed incident and controlled revision</w:t>
            </w:r>
          </w:p>
        </w:tc>
      </w:tr>
    </w:tbl>
    <w:p>
      <w:pPr>
        <w:spacing w:after="20"/>
      </w:pPr>
    </w:p>
    <w:p>
      <w:pPr>
        <w:pStyle w:val="Heading1"/>
      </w:pPr>
      <w:r>
        <w:t>Release rehearsal</w:t>
      </w:r>
    </w:p>
    <w:p>
      <w:r>
        <w:t>Run the named team through supplier qualification, PO, receipt, quarantine, testing, release, inventory movement, catalog, checkout, payment, order ownership, pick and pack, USPS UPS and FedEx comparison, label, shipment, delivery evidence, notification, return, refund, period reports, close, backup, and one operational case. Inject one failure at each provider boundary and record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tblHeader w:val="true"/>
        </w:trPr>
        <w:tc>
          <w:tcPr>
            <w:tcW w:type="dxa" w:w="4752"/>
            <w:shd w:fill="17365D"/>
            <w:vAlign w:val="center"/>
            <w:tcMar>
              <w:top w:w="100" w:type="dxa"/>
              <w:start w:w="110" w:type="dxa"/>
              <w:bottom w:w="100" w:type="dxa"/>
              <w:end w:w="110" w:type="dxa"/>
            </w:tcMar>
          </w:tcPr>
          <w:p>
            <w:pPr>
              <w:jc w:val="center"/>
            </w:pPr>
            <w:r>
              <w:rPr>
                <w:b/>
                <w:color w:val="FFFFFF"/>
                <w:sz w:val="18"/>
              </w:rPr>
              <w:t>Acceptance</w:t>
            </w:r>
          </w:p>
        </w:tc>
        <w:tc>
          <w:tcPr>
            <w:tcW w:type="dxa" w:w="4968"/>
            <w:shd w:fill="17365D"/>
            <w:vAlign w:val="center"/>
            <w:tcMar>
              <w:top w:w="100" w:type="dxa"/>
              <w:start w:w="110" w:type="dxa"/>
              <w:bottom w:w="100" w:type="dxa"/>
              <w:end w:w="110" w:type="dxa"/>
            </w:tcMar>
          </w:tcPr>
          <w:p>
            <w:pPr>
              <w:jc w:val="center"/>
            </w:pPr>
            <w:r>
              <w:rPr>
                <w:b/>
                <w:color w:val="FFFFFF"/>
                <w:sz w:val="18"/>
              </w:rPr>
              <w:t>Evidence</w:t>
            </w:r>
          </w:p>
        </w:tc>
      </w:tr>
      <w:tr>
        <w:trPr>
          <w:cantSplit/>
        </w:trPr>
        <w:tc>
          <w:tcPr>
            <w:tcW w:type="dxa" w:w="4752"/>
            <w:vAlign w:val="center"/>
            <w:tcMar>
              <w:top w:w="100" w:type="dxa"/>
              <w:start w:w="110" w:type="dxa"/>
              <w:bottom w:w="100" w:type="dxa"/>
              <w:end w:w="110" w:type="dxa"/>
            </w:tcMar>
          </w:tcPr>
          <w:p>
            <w:pPr>
              <w:jc w:val="left"/>
            </w:pPr>
            <w:r>
              <w:t>All automated checks pass</w:t>
            </w:r>
          </w:p>
        </w:tc>
        <w:tc>
          <w:tcPr>
            <w:tcW w:type="dxa" w:w="4968"/>
            <w:vAlign w:val="center"/>
            <w:tcMar>
              <w:top w:w="100" w:type="dxa"/>
              <w:start w:w="110" w:type="dxa"/>
              <w:bottom w:w="100" w:type="dxa"/>
              <w:end w:w="110" w:type="dxa"/>
            </w:tcMar>
          </w:tcPr>
          <w:p>
            <w:pPr>
              <w:jc w:val="left"/>
            </w:pPr>
            <w:r>
              <w:t>Type check, lint, full tests, build, migration replay</w:t>
            </w:r>
          </w:p>
        </w:tc>
      </w:tr>
      <w:tr>
        <w:trPr>
          <w:cantSplit/>
        </w:trPr>
        <w:tc>
          <w:tcPr>
            <w:tcW w:type="dxa" w:w="4752"/>
            <w:shd w:fill="EFF4F8"/>
            <w:vAlign w:val="center"/>
            <w:tcMar>
              <w:top w:w="100" w:type="dxa"/>
              <w:start w:w="110" w:type="dxa"/>
              <w:bottom w:w="100" w:type="dxa"/>
              <w:end w:w="110" w:type="dxa"/>
            </w:tcMar>
          </w:tcPr>
          <w:p>
            <w:pPr>
              <w:jc w:val="left"/>
            </w:pPr>
            <w:r>
              <w:t>No unresolved priority zero defect</w:t>
            </w:r>
          </w:p>
        </w:tc>
        <w:tc>
          <w:tcPr>
            <w:tcW w:type="dxa" w:w="4968"/>
            <w:shd w:fill="EFF4F8"/>
            <w:vAlign w:val="center"/>
            <w:tcMar>
              <w:top w:w="100" w:type="dxa"/>
              <w:start w:w="110" w:type="dxa"/>
              <w:bottom w:w="100" w:type="dxa"/>
              <w:end w:w="110" w:type="dxa"/>
            </w:tcMar>
          </w:tcPr>
          <w:p>
            <w:pPr>
              <w:jc w:val="center"/>
            </w:pPr>
            <w:r>
              <w:t>Defect and case review</w:t>
            </w:r>
          </w:p>
        </w:tc>
      </w:tr>
      <w:tr>
        <w:trPr>
          <w:cantSplit/>
        </w:trPr>
        <w:tc>
          <w:tcPr>
            <w:tcW w:type="dxa" w:w="4752"/>
            <w:vAlign w:val="center"/>
            <w:tcMar>
              <w:top w:w="100" w:type="dxa"/>
              <w:start w:w="110" w:type="dxa"/>
              <w:bottom w:w="100" w:type="dxa"/>
              <w:end w:w="110" w:type="dxa"/>
            </w:tcMar>
          </w:tcPr>
          <w:p>
            <w:pPr>
              <w:jc w:val="left"/>
            </w:pPr>
            <w:r>
              <w:t>Every launch critical control reviewed</w:t>
            </w:r>
          </w:p>
        </w:tc>
        <w:tc>
          <w:tcPr>
            <w:tcW w:type="dxa" w:w="4968"/>
            <w:vAlign w:val="center"/>
            <w:tcMar>
              <w:top w:w="100" w:type="dxa"/>
              <w:start w:w="110" w:type="dxa"/>
              <w:bottom w:w="100" w:type="dxa"/>
              <w:end w:w="110" w:type="dxa"/>
            </w:tcMar>
          </w:tcPr>
          <w:p>
            <w:pPr>
              <w:jc w:val="left"/>
            </w:pPr>
            <w:r>
              <w:t>Operating Controls export or screenshots and evidence links</w:t>
            </w:r>
          </w:p>
        </w:tc>
      </w:tr>
      <w:tr>
        <w:trPr>
          <w:cantSplit/>
        </w:trPr>
        <w:tc>
          <w:tcPr>
            <w:tcW w:type="dxa" w:w="4752"/>
            <w:shd w:fill="EFF4F8"/>
            <w:vAlign w:val="center"/>
            <w:tcMar>
              <w:top w:w="100" w:type="dxa"/>
              <w:start w:w="110" w:type="dxa"/>
              <w:bottom w:w="100" w:type="dxa"/>
              <w:end w:w="110" w:type="dxa"/>
            </w:tcMar>
          </w:tcPr>
          <w:p>
            <w:pPr>
              <w:jc w:val="left"/>
            </w:pPr>
            <w:r>
              <w:t>Recovery completes within approved targets</w:t>
            </w:r>
          </w:p>
        </w:tc>
        <w:tc>
          <w:tcPr>
            <w:tcW w:type="dxa" w:w="4968"/>
            <w:shd w:fill="EFF4F8"/>
            <w:vAlign w:val="center"/>
            <w:tcMar>
              <w:top w:w="100" w:type="dxa"/>
              <w:start w:w="110" w:type="dxa"/>
              <w:bottom w:w="100" w:type="dxa"/>
              <w:end w:w="110" w:type="dxa"/>
            </w:tcMar>
          </w:tcPr>
          <w:p>
            <w:pPr>
              <w:jc w:val="left"/>
            </w:pPr>
            <w:r>
              <w:t>D1 and R2 restore evidence with elapsed time</w:t>
            </w:r>
          </w:p>
        </w:tc>
      </w:tr>
      <w:tr>
        <w:trPr>
          <w:cantSplit/>
        </w:trPr>
        <w:tc>
          <w:tcPr>
            <w:tcW w:type="dxa" w:w="4752"/>
            <w:vAlign w:val="center"/>
            <w:tcMar>
              <w:top w:w="100" w:type="dxa"/>
              <w:start w:w="110" w:type="dxa"/>
              <w:bottom w:w="100" w:type="dxa"/>
              <w:end w:w="110" w:type="dxa"/>
            </w:tcMar>
          </w:tcPr>
          <w:p>
            <w:pPr>
              <w:jc w:val="left"/>
            </w:pPr>
            <w:r>
              <w:t>Named operators complete procedures</w:t>
            </w:r>
          </w:p>
        </w:tc>
        <w:tc>
          <w:tcPr>
            <w:tcW w:type="dxa" w:w="4968"/>
            <w:vAlign w:val="center"/>
            <w:tcMar>
              <w:top w:w="100" w:type="dxa"/>
              <w:start w:w="110" w:type="dxa"/>
              <w:bottom w:w="100" w:type="dxa"/>
              <w:end w:w="110" w:type="dxa"/>
            </w:tcMar>
          </w:tcPr>
          <w:p>
            <w:pPr>
              <w:jc w:val="left"/>
            </w:pPr>
            <w:r>
              <w:t>Training and walkthrough records</w:t>
            </w:r>
          </w:p>
        </w:tc>
      </w:tr>
      <w:tr>
        <w:trPr>
          <w:cantSplit/>
        </w:trPr>
        <w:tc>
          <w:tcPr>
            <w:tcW w:type="dxa" w:w="4752"/>
            <w:shd w:fill="EFF4F8"/>
            <w:vAlign w:val="center"/>
            <w:tcMar>
              <w:top w:w="100" w:type="dxa"/>
              <w:start w:w="110" w:type="dxa"/>
              <w:bottom w:w="100" w:type="dxa"/>
              <w:end w:w="110" w:type="dxa"/>
            </w:tcMar>
          </w:tcPr>
          <w:p>
            <w:pPr>
              <w:jc w:val="left"/>
            </w:pPr>
            <w:r>
              <w:t>Authorized members approve launch</w:t>
            </w:r>
          </w:p>
        </w:tc>
        <w:tc>
          <w:tcPr>
            <w:tcW w:type="dxa" w:w="4968"/>
            <w:shd w:fill="EFF4F8"/>
            <w:vAlign w:val="center"/>
            <w:tcMar>
              <w:top w:w="100" w:type="dxa"/>
              <w:start w:w="110" w:type="dxa"/>
              <w:bottom w:w="100" w:type="dxa"/>
              <w:end w:w="110" w:type="dxa"/>
            </w:tcMar>
          </w:tcPr>
          <w:p>
            <w:pPr>
              <w:jc w:val="left"/>
            </w:pPr>
            <w:r>
              <w:t>Signed decision with scope and residual risks</w:t>
            </w:r>
          </w:p>
        </w:tc>
      </w:tr>
    </w:tbl>
    <w:p>
      <w:pPr>
        <w:spacing w:after="20"/>
      </w:pPr>
    </w:p>
    <w:p>
      <w:pPr>
        <w:pStyle w:val="Heading1"/>
      </w:pPr>
      <w:r>
        <w:t>References</w:t>
      </w:r>
    </w:p>
    <w:p>
      <w:pPr>
        <w:pStyle w:val="ListBullet"/>
      </w:pPr>
      <w:r>
        <w:t>Cloudflare D1 import and export data  https://developers.cloudflare.com/d1/best-practices/import-export-data/</w:t>
      </w:r>
    </w:p>
    <w:p>
      <w:pPr>
        <w:pStyle w:val="ListBullet"/>
      </w:pPr>
      <w:r>
        <w:t>Cloudflare D1 Time Travel  https://developers.cloudflare.com/d1/reference/time-travel/</w:t>
      </w:r>
    </w:p>
    <w:p>
      <w:pPr>
        <w:pStyle w:val="ListBullet"/>
      </w:pPr>
      <w:r>
        <w:t>Cloudflare R2 download objects  https://developers.cloudflare.com/r2/objects/download-objects/</w:t>
      </w:r>
    </w:p>
    <w:p>
      <w:pPr>
        <w:pStyle w:val="ListBullet"/>
      </w:pPr>
      <w:r>
        <w:t>Shippo carrier accounts and rates  https://docs.goshippo.com/api-reference/carrier-accounts/list-all-carrier-accounts</w:t>
      </w:r>
    </w:p>
    <w:p>
      <w:pPr>
        <w:pStyle w:val="ListBullet"/>
      </w:pPr>
      <w:r>
        <w:t>Shippo service levels  https://docs.goshippo.com/api-reference/service-levels</w:t>
      </w:r>
    </w:p>
    <w:p>
      <w:pPr>
        <w:pStyle w:val="ListBullet"/>
      </w:pPr>
      <w:r>
        <w:t>Shippo create a refund  https://docs.goshippo.com/api-reference/refunds/create-a-refund</w:t>
      </w:r>
    </w:p>
    <w:p>
      <w:pPr>
        <w:pStyle w:val="ListBullet"/>
      </w:pPr>
      <w:r>
        <w:t>Shippo list all refunds  https://docs.goshippo.com/api-reference/refunds/list-all-refunds</w:t>
      </w:r>
    </w:p>
    <w:p>
      <w:pPr>
        <w:pStyle w:val="ListBullet"/>
      </w:pPr>
      <w:r>
        <w:t>Shippo retrieve a refund  https://docs.goshippo.com/api-reference/refunds/retrieve-a-refund</w:t>
      </w:r>
    </w:p>
    <w:p>
      <w:pPr>
        <w:pStyle w:val="ListBullet"/>
      </w:pPr>
      <w:r>
        <w:t>USPS Ground Advantage  https://www.usps.com/ship/ground-advantage.htm</w:t>
      </w:r>
    </w:p>
    <w:p>
      <w:pPr>
        <w:pStyle w:val="Heading1"/>
      </w:pPr>
      <w:r>
        <w:t>Approval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1958"/>
        <w:gridCol w:w="1958"/>
        <w:gridCol w:w="1958"/>
        <w:gridCol w:w="1958"/>
      </w:tblGrid>
      <w:tr>
        <w:trPr>
          <w:tblHeader w:val="true"/>
        </w:trPr>
        <w:tc>
          <w:tcPr>
            <w:tcW w:type="dxa" w:w="2088"/>
            <w:shd w:fill="17365D"/>
            <w:vAlign w:val="center"/>
            <w:tcMar>
              <w:top w:w="100" w:type="dxa"/>
              <w:start w:w="110" w:type="dxa"/>
              <w:bottom w:w="100" w:type="dxa"/>
              <w:end w:w="110" w:type="dxa"/>
            </w:tcMar>
          </w:tcPr>
          <w:p>
            <w:pPr>
              <w:jc w:val="center"/>
            </w:pPr>
            <w:r>
              <w:rPr>
                <w:b/>
                <w:color w:val="FFFFFF"/>
                <w:sz w:val="18"/>
              </w:rPr>
              <w:t>Role</w:t>
            </w:r>
          </w:p>
        </w:tc>
        <w:tc>
          <w:tcPr>
            <w:tcW w:type="dxa" w:w="1800"/>
            <w:shd w:fill="17365D"/>
            <w:vAlign w:val="center"/>
            <w:tcMar>
              <w:top w:w="100" w:type="dxa"/>
              <w:start w:w="110" w:type="dxa"/>
              <w:bottom w:w="100" w:type="dxa"/>
              <w:end w:w="110" w:type="dxa"/>
            </w:tcMar>
          </w:tcPr>
          <w:p>
            <w:pPr>
              <w:jc w:val="center"/>
            </w:pPr>
            <w:r>
              <w:rPr>
                <w:b/>
                <w:color w:val="FFFFFF"/>
                <w:sz w:val="18"/>
              </w:rPr>
              <w:t>Name</w:t>
            </w:r>
          </w:p>
        </w:tc>
        <w:tc>
          <w:tcPr>
            <w:tcW w:type="dxa" w:w="1656"/>
            <w:shd w:fill="17365D"/>
            <w:vAlign w:val="center"/>
            <w:tcMar>
              <w:top w:w="100" w:type="dxa"/>
              <w:start w:w="110" w:type="dxa"/>
              <w:bottom w:w="100" w:type="dxa"/>
              <w:end w:w="110" w:type="dxa"/>
            </w:tcMar>
          </w:tcPr>
          <w:p>
            <w:pPr>
              <w:jc w:val="center"/>
            </w:pPr>
            <w:r>
              <w:rPr>
                <w:b/>
                <w:color w:val="FFFFFF"/>
                <w:sz w:val="18"/>
              </w:rPr>
              <w:t>Decision</w:t>
            </w:r>
          </w:p>
        </w:tc>
        <w:tc>
          <w:tcPr>
            <w:tcW w:type="dxa" w:w="1440"/>
            <w:shd w:fill="17365D"/>
            <w:vAlign w:val="center"/>
            <w:tcMar>
              <w:top w:w="100" w:type="dxa"/>
              <w:start w:w="110" w:type="dxa"/>
              <w:bottom w:w="100" w:type="dxa"/>
              <w:end w:w="110" w:type="dxa"/>
            </w:tcMar>
          </w:tcPr>
          <w:p>
            <w:pPr>
              <w:jc w:val="center"/>
            </w:pPr>
            <w:r>
              <w:rPr>
                <w:b/>
                <w:color w:val="FFFFFF"/>
                <w:sz w:val="18"/>
              </w:rPr>
              <w:t>Date</w:t>
            </w:r>
          </w:p>
        </w:tc>
        <w:tc>
          <w:tcPr>
            <w:tcW w:type="dxa" w:w="2736"/>
            <w:shd w:fill="17365D"/>
            <w:vAlign w:val="center"/>
            <w:tcMar>
              <w:top w:w="100" w:type="dxa"/>
              <w:start w:w="110" w:type="dxa"/>
              <w:bottom w:w="100" w:type="dxa"/>
              <w:end w:w="110" w:type="dxa"/>
            </w:tcMar>
          </w:tcPr>
          <w:p>
            <w:pPr>
              <w:jc w:val="center"/>
            </w:pPr>
            <w:r>
              <w:rPr>
                <w:b/>
                <w:color w:val="FFFFFF"/>
                <w:sz w:val="18"/>
              </w:rPr>
              <w:t>Evidence</w:t>
            </w:r>
          </w:p>
        </w:tc>
      </w:tr>
      <w:tr>
        <w:trPr>
          <w:cantSplit/>
        </w:trPr>
        <w:tc>
          <w:tcPr>
            <w:tcW w:type="dxa" w:w="2088"/>
            <w:vAlign w:val="center"/>
            <w:tcMar>
              <w:top w:w="100" w:type="dxa"/>
              <w:start w:w="110" w:type="dxa"/>
              <w:bottom w:w="100" w:type="dxa"/>
              <w:end w:w="110" w:type="dxa"/>
            </w:tcMar>
          </w:tcPr>
          <w:p>
            <w:pPr>
              <w:jc w:val="center"/>
            </w:pPr>
            <w:r>
              <w:t>Technical owner</w:t>
            </w:r>
          </w:p>
        </w:tc>
        <w:tc>
          <w:tcPr>
            <w:tcW w:type="dxa" w:w="1800"/>
            <w:vAlign w:val="center"/>
            <w:tcMar>
              <w:top w:w="100" w:type="dxa"/>
              <w:start w:w="110" w:type="dxa"/>
              <w:bottom w:w="100" w:type="dxa"/>
              <w:end w:w="110" w:type="dxa"/>
            </w:tcMar>
          </w:tcPr>
          <w:p>
            <w:pPr>
              <w:jc w:val="center"/>
            </w:pPr>
            <w:r/>
          </w:p>
        </w:tc>
        <w:tc>
          <w:tcPr>
            <w:tcW w:type="dxa" w:w="1656"/>
            <w:vAlign w:val="center"/>
            <w:tcMar>
              <w:top w:w="100" w:type="dxa"/>
              <w:start w:w="110" w:type="dxa"/>
              <w:bottom w:w="100" w:type="dxa"/>
              <w:end w:w="110" w:type="dxa"/>
            </w:tcMar>
          </w:tcPr>
          <w:p>
            <w:pPr>
              <w:jc w:val="center"/>
            </w:pPr>
            <w:r/>
          </w:p>
        </w:tc>
        <w:tc>
          <w:tcPr>
            <w:tcW w:type="dxa" w:w="1440"/>
            <w:vAlign w:val="center"/>
            <w:tcMar>
              <w:top w:w="100" w:type="dxa"/>
              <w:start w:w="110" w:type="dxa"/>
              <w:bottom w:w="100" w:type="dxa"/>
              <w:end w:w="110" w:type="dxa"/>
            </w:tcMar>
          </w:tcPr>
          <w:p>
            <w:pPr>
              <w:jc w:val="center"/>
            </w:pPr>
            <w:r/>
          </w:p>
        </w:tc>
        <w:tc>
          <w:tcPr>
            <w:tcW w:type="dxa" w:w="2736"/>
            <w:vAlign w:val="center"/>
            <w:tcMar>
              <w:top w:w="100" w:type="dxa"/>
              <w:start w:w="110" w:type="dxa"/>
              <w:bottom w:w="100" w:type="dxa"/>
              <w:end w:w="110" w:type="dxa"/>
            </w:tcMar>
          </w:tcPr>
          <w:p>
            <w:pPr>
              <w:jc w:val="center"/>
            </w:pPr>
            <w:r/>
          </w:p>
        </w:tc>
      </w:tr>
      <w:tr>
        <w:trPr>
          <w:cantSplit/>
        </w:trPr>
        <w:tc>
          <w:tcPr>
            <w:tcW w:type="dxa" w:w="2088"/>
            <w:shd w:fill="EFF4F8"/>
            <w:vAlign w:val="center"/>
            <w:tcMar>
              <w:top w:w="100" w:type="dxa"/>
              <w:start w:w="110" w:type="dxa"/>
              <w:bottom w:w="100" w:type="dxa"/>
              <w:end w:w="110" w:type="dxa"/>
            </w:tcMar>
          </w:tcPr>
          <w:p>
            <w:pPr>
              <w:jc w:val="center"/>
            </w:pPr>
            <w:r>
              <w:t>Operations reviewer</w:t>
            </w:r>
          </w:p>
        </w:tc>
        <w:tc>
          <w:tcPr>
            <w:tcW w:type="dxa" w:w="1800"/>
            <w:shd w:fill="EFF4F8"/>
            <w:vAlign w:val="center"/>
            <w:tcMar>
              <w:top w:w="100" w:type="dxa"/>
              <w:start w:w="110" w:type="dxa"/>
              <w:bottom w:w="100" w:type="dxa"/>
              <w:end w:w="110" w:type="dxa"/>
            </w:tcMar>
          </w:tcPr>
          <w:p>
            <w:pPr>
              <w:jc w:val="center"/>
            </w:pPr>
            <w:r/>
          </w:p>
        </w:tc>
        <w:tc>
          <w:tcPr>
            <w:tcW w:type="dxa" w:w="1656"/>
            <w:shd w:fill="EFF4F8"/>
            <w:vAlign w:val="center"/>
            <w:tcMar>
              <w:top w:w="100" w:type="dxa"/>
              <w:start w:w="110" w:type="dxa"/>
              <w:bottom w:w="100" w:type="dxa"/>
              <w:end w:w="110" w:type="dxa"/>
            </w:tcMar>
          </w:tcPr>
          <w:p>
            <w:pPr>
              <w:jc w:val="center"/>
            </w:pPr>
            <w:r/>
          </w:p>
        </w:tc>
        <w:tc>
          <w:tcPr>
            <w:tcW w:type="dxa" w:w="1440"/>
            <w:shd w:fill="EFF4F8"/>
            <w:vAlign w:val="center"/>
            <w:tcMar>
              <w:top w:w="100" w:type="dxa"/>
              <w:start w:w="110" w:type="dxa"/>
              <w:bottom w:w="100" w:type="dxa"/>
              <w:end w:w="110" w:type="dxa"/>
            </w:tcMar>
          </w:tcPr>
          <w:p>
            <w:pPr>
              <w:jc w:val="center"/>
            </w:pPr>
            <w:r/>
          </w:p>
        </w:tc>
        <w:tc>
          <w:tcPr>
            <w:tcW w:type="dxa" w:w="2736"/>
            <w:shd w:fill="EFF4F8"/>
            <w:vAlign w:val="center"/>
            <w:tcMar>
              <w:top w:w="100" w:type="dxa"/>
              <w:start w:w="110" w:type="dxa"/>
              <w:bottom w:w="100" w:type="dxa"/>
              <w:end w:w="110" w:type="dxa"/>
            </w:tcMar>
          </w:tcPr>
          <w:p>
            <w:pPr>
              <w:jc w:val="center"/>
            </w:pPr>
            <w:r/>
          </w:p>
        </w:tc>
      </w:tr>
      <w:tr>
        <w:trPr>
          <w:cantSplit/>
        </w:trPr>
        <w:tc>
          <w:tcPr>
            <w:tcW w:type="dxa" w:w="2088"/>
            <w:vAlign w:val="center"/>
            <w:tcMar>
              <w:top w:w="100" w:type="dxa"/>
              <w:start w:w="110" w:type="dxa"/>
              <w:bottom w:w="100" w:type="dxa"/>
              <w:end w:w="110" w:type="dxa"/>
            </w:tcMar>
          </w:tcPr>
          <w:p>
            <w:pPr>
              <w:jc w:val="center"/>
            </w:pPr>
            <w:r>
              <w:t>Quality reviewer</w:t>
            </w:r>
          </w:p>
        </w:tc>
        <w:tc>
          <w:tcPr>
            <w:tcW w:type="dxa" w:w="1800"/>
            <w:vAlign w:val="center"/>
            <w:tcMar>
              <w:top w:w="100" w:type="dxa"/>
              <w:start w:w="110" w:type="dxa"/>
              <w:bottom w:w="100" w:type="dxa"/>
              <w:end w:w="110" w:type="dxa"/>
            </w:tcMar>
          </w:tcPr>
          <w:p>
            <w:pPr>
              <w:jc w:val="center"/>
            </w:pPr>
            <w:r/>
          </w:p>
        </w:tc>
        <w:tc>
          <w:tcPr>
            <w:tcW w:type="dxa" w:w="1656"/>
            <w:vAlign w:val="center"/>
            <w:tcMar>
              <w:top w:w="100" w:type="dxa"/>
              <w:start w:w="110" w:type="dxa"/>
              <w:bottom w:w="100" w:type="dxa"/>
              <w:end w:w="110" w:type="dxa"/>
            </w:tcMar>
          </w:tcPr>
          <w:p>
            <w:pPr>
              <w:jc w:val="center"/>
            </w:pPr>
            <w:r/>
          </w:p>
        </w:tc>
        <w:tc>
          <w:tcPr>
            <w:tcW w:type="dxa" w:w="1440"/>
            <w:vAlign w:val="center"/>
            <w:tcMar>
              <w:top w:w="100" w:type="dxa"/>
              <w:start w:w="110" w:type="dxa"/>
              <w:bottom w:w="100" w:type="dxa"/>
              <w:end w:w="110" w:type="dxa"/>
            </w:tcMar>
          </w:tcPr>
          <w:p>
            <w:pPr>
              <w:jc w:val="center"/>
            </w:pPr>
            <w:r/>
          </w:p>
        </w:tc>
        <w:tc>
          <w:tcPr>
            <w:tcW w:type="dxa" w:w="2736"/>
            <w:vAlign w:val="center"/>
            <w:tcMar>
              <w:top w:w="100" w:type="dxa"/>
              <w:start w:w="110" w:type="dxa"/>
              <w:bottom w:w="100" w:type="dxa"/>
              <w:end w:w="110" w:type="dxa"/>
            </w:tcMar>
          </w:tcPr>
          <w:p>
            <w:pPr>
              <w:jc w:val="center"/>
            </w:pPr>
            <w:r/>
          </w:p>
        </w:tc>
      </w:tr>
      <w:tr>
        <w:trPr>
          <w:cantSplit/>
        </w:trPr>
        <w:tc>
          <w:tcPr>
            <w:tcW w:type="dxa" w:w="2088"/>
            <w:shd w:fill="EFF4F8"/>
            <w:vAlign w:val="center"/>
            <w:tcMar>
              <w:top w:w="100" w:type="dxa"/>
              <w:start w:w="110" w:type="dxa"/>
              <w:bottom w:w="100" w:type="dxa"/>
              <w:end w:w="110" w:type="dxa"/>
            </w:tcMar>
          </w:tcPr>
          <w:p>
            <w:pPr>
              <w:jc w:val="center"/>
            </w:pPr>
            <w:r>
              <w:t>Production approver</w:t>
            </w:r>
          </w:p>
        </w:tc>
        <w:tc>
          <w:tcPr>
            <w:tcW w:type="dxa" w:w="1800"/>
            <w:shd w:fill="EFF4F8"/>
            <w:vAlign w:val="center"/>
            <w:tcMar>
              <w:top w:w="100" w:type="dxa"/>
              <w:start w:w="110" w:type="dxa"/>
              <w:bottom w:w="100" w:type="dxa"/>
              <w:end w:w="110" w:type="dxa"/>
            </w:tcMar>
          </w:tcPr>
          <w:p>
            <w:pPr>
              <w:jc w:val="center"/>
            </w:pPr>
            <w:r/>
          </w:p>
        </w:tc>
        <w:tc>
          <w:tcPr>
            <w:tcW w:type="dxa" w:w="1656"/>
            <w:shd w:fill="EFF4F8"/>
            <w:vAlign w:val="center"/>
            <w:tcMar>
              <w:top w:w="100" w:type="dxa"/>
              <w:start w:w="110" w:type="dxa"/>
              <w:bottom w:w="100" w:type="dxa"/>
              <w:end w:w="110" w:type="dxa"/>
            </w:tcMar>
          </w:tcPr>
          <w:p>
            <w:pPr>
              <w:jc w:val="center"/>
            </w:pPr>
            <w:r/>
          </w:p>
        </w:tc>
        <w:tc>
          <w:tcPr>
            <w:tcW w:type="dxa" w:w="1440"/>
            <w:shd w:fill="EFF4F8"/>
            <w:vAlign w:val="center"/>
            <w:tcMar>
              <w:top w:w="100" w:type="dxa"/>
              <w:start w:w="110" w:type="dxa"/>
              <w:bottom w:w="100" w:type="dxa"/>
              <w:end w:w="110" w:type="dxa"/>
            </w:tcMar>
          </w:tcPr>
          <w:p>
            <w:pPr>
              <w:jc w:val="center"/>
            </w:pPr>
            <w:r/>
          </w:p>
        </w:tc>
        <w:tc>
          <w:tcPr>
            <w:tcW w:type="dxa" w:w="2736"/>
            <w:shd w:fill="EFF4F8"/>
            <w:vAlign w:val="center"/>
            <w:tcMar>
              <w:top w:w="100" w:type="dxa"/>
              <w:start w:w="110" w:type="dxa"/>
              <w:bottom w:w="100" w:type="dxa"/>
              <w:end w:w="110" w:type="dxa"/>
            </w:tcMar>
          </w:tcPr>
          <w:p>
            <w:pPr>
              <w:jc w:val="center"/>
            </w:pPr>
            <w:r/>
          </w:p>
        </w:tc>
      </w:tr>
    </w:tbl>
    <w:p>
      <w:pPr>
        <w:spacing w:after="20"/>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080"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MAN 002   Controlled draft   </w:t>
    </w:r>
    <w:r>
      <w:rPr>
        <w:color w:val="000000"/>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MAN 002   Controlled draft   </w:t>
    </w:r>
    <w:r>
      <w:rPr>
        <w:color w:val="000000"/>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MAN 002   Controlled draft   </w:t>
    </w:r>
    <w:r>
      <w:rPr>
        <w:color w:val="00000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Operations and Recovery Manual</dc:title>
  <dc:subject>Business operations and standard operating procedures</dc:subject>
  <dc:creator>NexPhase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