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6B5E"/>
          <w:spacing w:val="40"/>
          <w:sz w:val="17"/>
          <w:szCs w:val="17"/>
        </w:rPr>
        <w:t xml:space="preserve">STANDARD OPERATING PROCEDURE</w:t>
      </w:r>
    </w:p>
    <w:p>
      <w:pPr>
        <w:spacing w:after="240"/>
      </w:pPr>
      <w:r>
        <w:rPr>
          <w:rFonts w:ascii="Calibri" w:cs="Calibri" w:eastAsia="Calibri" w:hAnsi="Calibri"/>
          <w:b/>
          <w:bCs/>
          <w:color w:val="1A1A1A"/>
          <w:sz w:val="40"/>
          <w:szCs w:val="40"/>
        </w:rPr>
        <w:t xml:space="preserve">Lot Receipt and Quarantine</w:t>
      </w:r>
    </w:p>
    <w:tbl>
      <w:tblPr>
        <w:tblW w:type="dxa" w:w="10000"/>
        <w:tblBorders>
          <w:top w:val="single" w:color="1A1A1A" w:sz="8"/>
          <w:left w:val="single" w:color="BFC9C4" w:sz="4"/>
          <w:bottom w:val="single" w:color="1A1A1A" w:sz="8"/>
          <w:right w:val="single" w:color="BFC9C4" w:sz="4"/>
          <w:insideH w:val="single" w:color="BFC9C4" w:sz="4"/>
          <w:insideV w:val="single" w:color="BFC9C4" w:sz="4"/>
        </w:tblBorders>
      </w:tblPr>
      <w:tblGrid>
        <w:gridCol w:w="1900"/>
        <w:gridCol w:w="3200"/>
        <w:gridCol w:w="1700"/>
        <w:gridCol w:w="3200"/>
      </w:tblGrid>
      <w:tr>
        <w:tc>
          <w:tcPr>
            <w:tcW w:type="dxa" w:w="19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Document No.</w:t>
            </w:r>
          </w:p>
        </w:tc>
        <w:tc>
          <w:tcPr>
            <w:tcW w:type="dxa" w:w="3200"/>
            <w:tcMar>
              <w:top w:type="dxa" w:w="90"/>
              <w:left w:type="dxa" w:w="130"/>
              <w:bottom w:type="dxa" w:w="90"/>
              <w:right w:type="dxa" w:w="130"/>
            </w:tcMar>
          </w:tcPr>
          <w:p>
            <w:pPr>
              <w:spacing w:after="0" w:line="252"/>
            </w:pPr>
            <w:r>
              <w:rPr>
                <w:rFonts w:ascii="Consolas" w:cs="Consolas" w:eastAsia="Consolas" w:hAnsi="Consolas"/>
                <w:b w:val="false"/>
                <w:bCs w:val="false"/>
                <w:color w:val="1A1A1A"/>
                <w:sz w:val="19"/>
                <w:szCs w:val="19"/>
              </w:rPr>
              <w:t xml:space="preserve">SOP-001</w:t>
            </w:r>
          </w:p>
        </w:tc>
        <w:tc>
          <w:tcPr>
            <w:tcW w:type="dxa" w:w="17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Revision</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1.0  (initial issue)</w:t>
            </w:r>
          </w:p>
        </w:tc>
      </w:tr>
      <w:tr>
        <w:tc>
          <w:tcPr>
            <w:tcW w:type="dxa" w:w="19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Title</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Lot Receipt and Quarantine</w:t>
            </w:r>
          </w:p>
        </w:tc>
        <w:tc>
          <w:tcPr>
            <w:tcW w:type="dxa" w:w="17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Effective date</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______________</w:t>
            </w:r>
          </w:p>
        </w:tc>
      </w:tr>
      <w:tr>
        <w:tc>
          <w:tcPr>
            <w:tcW w:type="dxa" w:w="19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Process owner</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Melissa Ibrahim</w:t>
            </w:r>
          </w:p>
        </w:tc>
        <w:tc>
          <w:tcPr>
            <w:tcW w:type="dxa" w:w="17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Approved by</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Ammre Barakat</w:t>
            </w:r>
          </w:p>
        </w:tc>
      </w:tr>
      <w:tr>
        <w:tc>
          <w:tcPr>
            <w:tcW w:type="dxa" w:w="19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Entity</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8486 Ventures LLC</w:t>
            </w:r>
          </w:p>
        </w:tc>
        <w:tc>
          <w:tcPr>
            <w:tcW w:type="dxa" w:w="17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Facility</w:t>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Oakland, California</w:t>
            </w:r>
          </w:p>
        </w:tc>
      </w:tr>
    </w:tbl>
    <w:p>
      <w:pPr>
        <w:spacing w:after="200"/>
      </w:pPr>
    </w:p>
    <w:p>
      <w:pPr>
        <w:pStyle w:val="Heading1"/>
        <w:spacing w:after="140" w:before="320"/>
      </w:pPr>
      <w:r>
        <w:rPr>
          <w:rFonts w:ascii="Calibri" w:cs="Calibri" w:eastAsia="Calibri" w:hAnsi="Calibri"/>
          <w:b/>
          <w:bCs/>
          <w:color w:val="1A1A1A"/>
          <w:sz w:val="26"/>
          <w:szCs w:val="26"/>
        </w:rPr>
        <w:t xml:space="preserve">1.  Purpose</w:t>
      </w:r>
    </w:p>
    <w:p>
      <w:pPr>
        <w:spacing w:after="120" w:line="276"/>
      </w:pPr>
      <w:r>
        <w:rPr>
          <w:rFonts w:ascii="Calibri" w:cs="Calibri" w:eastAsia="Calibri" w:hAnsi="Calibri"/>
          <w:color w:val="1A1A1A"/>
          <w:sz w:val="21"/>
          <w:szCs w:val="21"/>
        </w:rPr>
        <w:t xml:space="preserve">To establish how incoming material is received, identified, recorded, and held so that nothing is offered for sale before it has been tested and released. This procedure creates the lot record that every downstream record depends on.</w:t>
      </w:r>
    </w:p>
    <w:p>
      <w:pPr>
        <w:pStyle w:val="Heading1"/>
        <w:spacing w:after="140" w:before="320"/>
      </w:pPr>
      <w:r>
        <w:rPr>
          <w:rFonts w:ascii="Calibri" w:cs="Calibri" w:eastAsia="Calibri" w:hAnsi="Calibri"/>
          <w:b/>
          <w:bCs/>
          <w:color w:val="1A1A1A"/>
          <w:sz w:val="26"/>
          <w:szCs w:val="26"/>
        </w:rPr>
        <w:t xml:space="preserve">2.  Scope</w:t>
      </w:r>
    </w:p>
    <w:p>
      <w:pPr>
        <w:spacing w:after="120" w:line="276"/>
      </w:pPr>
      <w:r>
        <w:rPr>
          <w:rFonts w:ascii="Calibri" w:cs="Calibri" w:eastAsia="Calibri" w:hAnsi="Calibri"/>
          <w:color w:val="1A1A1A"/>
          <w:sz w:val="21"/>
          <w:szCs w:val="21"/>
        </w:rPr>
        <w:t xml:space="preserve">Applies to every shipment of peptide or reagent material received at the Oakland facility, from any supplier, including Alibaba Trade Assurance orders and direct supplier shipments. It also applies to packaging components that contact product (vials, stoppers, seals) and to sterile diluent.</w:t>
      </w:r>
    </w:p>
    <w:p>
      <w:pPr>
        <w:pStyle w:val="Heading1"/>
        <w:spacing w:after="140" w:before="320"/>
      </w:pPr>
      <w:r>
        <w:rPr>
          <w:rFonts w:ascii="Calibri" w:cs="Calibri" w:eastAsia="Calibri" w:hAnsi="Calibri"/>
          <w:b/>
          <w:bCs/>
          <w:color w:val="1A1A1A"/>
          <w:sz w:val="26"/>
          <w:szCs w:val="26"/>
        </w:rPr>
        <w:t xml:space="preserve">3.  Definitions</w:t>
      </w:r>
    </w:p>
    <w:p>
      <w:pPr>
        <w:spacing w:after="120" w:line="276"/>
        <w:ind w:left="360"/>
      </w:pPr>
      <w:r>
        <w:rPr>
          <w:rFonts w:ascii="Calibri" w:cs="Calibri" w:eastAsia="Calibri" w:hAnsi="Calibri"/>
          <w:b/>
          <w:bCs/>
          <w:color w:val="1A1A1A"/>
          <w:sz w:val="21"/>
          <w:szCs w:val="21"/>
        </w:rPr>
        <w:t xml:space="preserve">Lot — </w:t>
      </w:r>
      <w:r>
        <w:rPr>
          <w:rFonts w:ascii="Calibri" w:cs="Calibri" w:eastAsia="Calibri" w:hAnsi="Calibri"/>
          <w:color w:val="1A1A1A"/>
          <w:sz w:val="21"/>
          <w:szCs w:val="21"/>
        </w:rPr>
        <w:t xml:space="preserve">A quantity of a single product from a single supplier shipment, treated as one unit for testing and traceability.</w:t>
      </w:r>
    </w:p>
    <w:p>
      <w:pPr>
        <w:spacing w:after="120" w:line="276"/>
        <w:ind w:left="360"/>
      </w:pPr>
      <w:r>
        <w:rPr>
          <w:rFonts w:ascii="Calibri" w:cs="Calibri" w:eastAsia="Calibri" w:hAnsi="Calibri"/>
          <w:b/>
          <w:bCs/>
          <w:color w:val="1A1A1A"/>
          <w:sz w:val="21"/>
          <w:szCs w:val="21"/>
        </w:rPr>
        <w:t xml:space="preserve">Lot number — </w:t>
      </w:r>
      <w:r>
        <w:rPr>
          <w:rFonts w:ascii="Calibri" w:cs="Calibri" w:eastAsia="Calibri" w:hAnsi="Calibri"/>
          <w:color w:val="1A1A1A"/>
          <w:sz w:val="21"/>
          <w:szCs w:val="21"/>
        </w:rPr>
        <w:t xml:space="preserve">The unique identifier assigned at receipt. Format is defined in Section 6, Step 3.</w:t>
      </w:r>
    </w:p>
    <w:p>
      <w:pPr>
        <w:spacing w:after="120" w:line="276"/>
        <w:ind w:left="360"/>
      </w:pPr>
      <w:r>
        <w:rPr>
          <w:rFonts w:ascii="Calibri" w:cs="Calibri" w:eastAsia="Calibri" w:hAnsi="Calibri"/>
          <w:b/>
          <w:bCs/>
          <w:color w:val="1A1A1A"/>
          <w:sz w:val="21"/>
          <w:szCs w:val="21"/>
        </w:rPr>
        <w:t xml:space="preserve">Quarantine — </w:t>
      </w:r>
      <w:r>
        <w:rPr>
          <w:rFonts w:ascii="Calibri" w:cs="Calibri" w:eastAsia="Calibri" w:hAnsi="Calibri"/>
          <w:color w:val="1A1A1A"/>
          <w:sz w:val="21"/>
          <w:szCs w:val="21"/>
        </w:rPr>
        <w:t xml:space="preserve">A physical and system status meaning the material is present but must not be sold, shipped, opened for filling, or listed as available.</w:t>
      </w:r>
    </w:p>
    <w:p>
      <w:pPr>
        <w:spacing w:after="120" w:line="276"/>
        <w:ind w:left="360"/>
      </w:pPr>
      <w:r>
        <w:rPr>
          <w:rFonts w:ascii="Calibri" w:cs="Calibri" w:eastAsia="Calibri" w:hAnsi="Calibri"/>
          <w:b/>
          <w:bCs/>
          <w:color w:val="1A1A1A"/>
          <w:sz w:val="21"/>
          <w:szCs w:val="21"/>
        </w:rPr>
        <w:t xml:space="preserve">Released — </w:t>
      </w:r>
      <w:r>
        <w:rPr>
          <w:rFonts w:ascii="Calibri" w:cs="Calibri" w:eastAsia="Calibri" w:hAnsi="Calibri"/>
          <w:color w:val="1A1A1A"/>
          <w:sz w:val="21"/>
          <w:szCs w:val="21"/>
        </w:rPr>
        <w:t xml:space="preserve">The status assigned only after SOP-002 is completed and a passing Certificate of Analysis is on file.</w:t>
      </w:r>
    </w:p>
    <w:p>
      <w:pPr>
        <w:spacing w:after="120" w:line="276"/>
        <w:ind w:left="360"/>
      </w:pPr>
      <w:r>
        <w:rPr>
          <w:rFonts w:ascii="Calibri" w:cs="Calibri" w:eastAsia="Calibri" w:hAnsi="Calibri"/>
          <w:b/>
          <w:bCs/>
          <w:color w:val="1A1A1A"/>
          <w:sz w:val="21"/>
          <w:szCs w:val="21"/>
        </w:rPr>
        <w:t xml:space="preserve">RUO — </w:t>
      </w:r>
      <w:r>
        <w:rPr>
          <w:rFonts w:ascii="Calibri" w:cs="Calibri" w:eastAsia="Calibri" w:hAnsi="Calibri"/>
          <w:color w:val="1A1A1A"/>
          <w:sz w:val="21"/>
          <w:szCs w:val="21"/>
        </w:rPr>
        <w:t xml:space="preserve">Research Use Only. All NexPhase Labs material is RUO and is not for human or veterinary use.</w:t>
      </w:r>
    </w:p>
    <w:p>
      <w:pPr>
        <w:pStyle w:val="Heading1"/>
        <w:spacing w:after="140" w:before="320"/>
      </w:pPr>
      <w:r>
        <w:rPr>
          <w:rFonts w:ascii="Calibri" w:cs="Calibri" w:eastAsia="Calibri" w:hAnsi="Calibri"/>
          <w:b/>
          <w:bCs/>
          <w:color w:val="1A1A1A"/>
          <w:sz w:val="26"/>
          <w:szCs w:val="26"/>
        </w:rPr>
        <w:t xml:space="preserve">4.  Responsibilities</w:t>
      </w:r>
    </w:p>
    <w:tbl>
      <w:tblPr>
        <w:tblW w:type="dxa" w:w="10000"/>
        <w:tblBorders>
          <w:top w:val="single" w:color="BFC9C4" w:sz="4"/>
          <w:left w:val="single" w:color="BFC9C4" w:sz="4"/>
          <w:bottom w:val="single" w:color="BFC9C4" w:sz="4"/>
          <w:right w:val="single" w:color="BFC9C4" w:sz="4"/>
          <w:insideH w:val="single" w:color="BFC9C4" w:sz="4"/>
          <w:insideV w:val="single" w:color="BFC9C4" w:sz="4"/>
        </w:tblBorders>
      </w:tblPr>
      <w:tblGrid>
        <w:gridCol w:w="2600"/>
        <w:gridCol w:w="7400"/>
      </w:tblGrid>
      <w:tr>
        <w:trPr>
          <w:tblHeader/>
        </w:trPr>
        <w:tc>
          <w:tcPr>
            <w:tcW w:type="dxa" w:w="26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Role</w:t>
            </w:r>
          </w:p>
        </w:tc>
        <w:tc>
          <w:tcPr>
            <w:tcW w:type="dxa" w:w="74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Responsibility</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Melissa Ibrahim</w:t>
            </w:r>
          </w:p>
        </w:tc>
        <w:tc>
          <w:tcPr>
            <w:tcW w:type="dxa" w:w="7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Receives shipments, assigns lot numbers, completes the Lot Register entry, places material in quarantine, and initiates testing.</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Wisam Ibrahim</w:t>
            </w:r>
          </w:p>
        </w:tc>
        <w:tc>
          <w:tcPr>
            <w:tcW w:type="dxa" w:w="7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Backup receiver. Must not release material to fulfillment without a released lot status.</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Ammre Barakat</w:t>
            </w:r>
          </w:p>
        </w:tc>
        <w:tc>
          <w:tcPr>
            <w:tcW w:type="dxa" w:w="7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Approves this procedure and any deviation from it. Reviews the Lot Register monthly.</w:t>
            </w:r>
          </w:p>
        </w:tc>
      </w:tr>
    </w:tbl>
    <w:p>
      <w:pPr>
        <w:pStyle w:val="Heading1"/>
        <w:spacing w:after="140" w:before="320"/>
      </w:pPr>
      <w:r>
        <w:rPr>
          <w:rFonts w:ascii="Calibri" w:cs="Calibri" w:eastAsia="Calibri" w:hAnsi="Calibri"/>
          <w:b/>
          <w:bCs/>
          <w:color w:val="1A1A1A"/>
          <w:sz w:val="26"/>
          <w:szCs w:val="26"/>
        </w:rPr>
        <w:t xml:space="preserve">5.  Before you begin</w:t>
      </w:r>
    </w:p>
    <w:p>
      <w:pPr>
        <w:spacing w:after="120" w:line="276"/>
      </w:pPr>
      <w:r>
        <w:rPr>
          <w:rFonts w:ascii="Calibri" w:cs="Calibri" w:eastAsia="Calibri" w:hAnsi="Calibri"/>
          <w:color w:val="1A1A1A"/>
          <w:sz w:val="21"/>
          <w:szCs w:val="21"/>
        </w:rPr>
        <w:t xml:space="preserve">Have these on hand before opening a shipment:</w:t>
      </w:r>
    </w:p>
    <w:p>
      <w:pPr>
        <w:spacing w:after="60" w:line="264"/>
        <w:ind w:left="648" w:hanging="288"/>
      </w:pPr>
      <w:r>
        <w:rPr>
          <w:rFonts w:ascii="Calibri" w:cs="Calibri" w:eastAsia="Calibri" w:hAnsi="Calibri"/>
          <w:color w:val="0D6B5E"/>
          <w:sz w:val="21"/>
          <w:szCs w:val="21"/>
        </w:rPr>
        <w:t xml:space="preserve">•  </w:t>
      </w:r>
      <w:r>
        <w:rPr>
          <w:rFonts w:ascii="Calibri" w:cs="Calibri" w:eastAsia="Calibri" w:hAnsi="Calibri"/>
          <w:color w:val="1A1A1A"/>
          <w:sz w:val="21"/>
          <w:szCs w:val="21"/>
        </w:rPr>
        <w:t xml:space="preserve">The supplier’s packing list and, for Alibaba orders, the Trade Assurance order number.</w:t>
      </w:r>
    </w:p>
    <w:p>
      <w:pPr>
        <w:spacing w:after="60" w:line="264"/>
        <w:ind w:left="648" w:hanging="288"/>
      </w:pPr>
      <w:r>
        <w:rPr>
          <w:rFonts w:ascii="Calibri" w:cs="Calibri" w:eastAsia="Calibri" w:hAnsi="Calibri"/>
          <w:color w:val="0D6B5E"/>
          <w:sz w:val="21"/>
          <w:szCs w:val="21"/>
        </w:rPr>
        <w:t xml:space="preserve">•  </w:t>
      </w:r>
      <w:r>
        <w:rPr>
          <w:rFonts w:ascii="Calibri" w:cs="Calibri" w:eastAsia="Calibri" w:hAnsi="Calibri"/>
          <w:color w:val="1A1A1A"/>
          <w:sz w:val="21"/>
          <w:szCs w:val="21"/>
        </w:rPr>
        <w:t xml:space="preserve">The Lot Register (shared spreadsheet or the inventory system, whichever is current).</w:t>
      </w:r>
    </w:p>
    <w:p>
      <w:pPr>
        <w:spacing w:after="60" w:line="264"/>
        <w:ind w:left="648" w:hanging="288"/>
      </w:pPr>
      <w:r>
        <w:rPr>
          <w:rFonts w:ascii="Calibri" w:cs="Calibri" w:eastAsia="Calibri" w:hAnsi="Calibri"/>
          <w:color w:val="0D6B5E"/>
          <w:sz w:val="21"/>
          <w:szCs w:val="21"/>
        </w:rPr>
        <w:t xml:space="preserve">•  </w:t>
      </w:r>
      <w:r>
        <w:rPr>
          <w:rFonts w:ascii="Calibri" w:cs="Calibri" w:eastAsia="Calibri" w:hAnsi="Calibri"/>
          <w:color w:val="1A1A1A"/>
          <w:sz w:val="21"/>
          <w:szCs w:val="21"/>
        </w:rPr>
        <w:t xml:space="preserve">A label printer loaded with quarantine labels.</w:t>
      </w:r>
    </w:p>
    <w:p>
      <w:pPr>
        <w:spacing w:after="60" w:line="264"/>
        <w:ind w:left="648" w:hanging="288"/>
      </w:pPr>
      <w:r>
        <w:rPr>
          <w:rFonts w:ascii="Calibri" w:cs="Calibri" w:eastAsia="Calibri" w:hAnsi="Calibri"/>
          <w:color w:val="0D6B5E"/>
          <w:sz w:val="21"/>
          <w:szCs w:val="21"/>
        </w:rPr>
        <w:t xml:space="preserve">•  </w:t>
      </w:r>
      <w:r>
        <w:rPr>
          <w:rFonts w:ascii="Calibri" w:cs="Calibri" w:eastAsia="Calibri" w:hAnsi="Calibri"/>
          <w:color w:val="1A1A1A"/>
          <w:sz w:val="21"/>
          <w:szCs w:val="21"/>
        </w:rPr>
        <w:t xml:space="preserve">A camera or phone — photographs of the shipment as received are part of the record.</w:t>
      </w:r>
    </w:p>
    <w:p>
      <w:pPr>
        <w:pStyle w:val="Heading1"/>
        <w:spacing w:after="140" w:before="320"/>
      </w:pPr>
      <w:r>
        <w:rPr>
          <w:rFonts w:ascii="Calibri" w:cs="Calibri" w:eastAsia="Calibri" w:hAnsi="Calibri"/>
          <w:b/>
          <w:bCs/>
          <w:color w:val="1A1A1A"/>
          <w:sz w:val="26"/>
          <w:szCs w:val="26"/>
        </w:rPr>
        <w:t xml:space="preserve">6.  Procedure</w:t>
      </w:r>
    </w:p>
    <w:p>
      <w:pPr>
        <w:spacing w:after="60" w:before="140" w:line="276"/>
        <w:ind w:left="604" w:hanging="604"/>
      </w:pPr>
      <w:r>
        <w:rPr>
          <w:rFonts w:ascii="Calibri" w:cs="Calibri" w:eastAsia="Calibri" w:hAnsi="Calibri"/>
          <w:b/>
          <w:bCs/>
          <w:color w:val="0D6B5E"/>
          <w:sz w:val="21"/>
          <w:szCs w:val="21"/>
        </w:rPr>
        <w:t xml:space="preserve">6.1  </w:t>
      </w:r>
      <w:r>
        <w:rPr>
          <w:rFonts w:ascii="Calibri" w:cs="Calibri" w:eastAsia="Calibri" w:hAnsi="Calibri"/>
          <w:color w:val="1A1A1A"/>
          <w:sz w:val="21"/>
          <w:szCs w:val="21"/>
        </w:rPr>
        <w:t xml:space="preserve">Inspect the shipment before opening it.</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Photograph the outer packaging, including any damage, and the shipping label.</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Confirm the carrier, the number of parcels, and that seals are intact.</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If the packaging is damaged or opened, do not proceed. Photograph it, set it aside, and notify Ammre before continuing.</w:t>
      </w:r>
    </w:p>
    <w:p>
      <w:pPr>
        <w:spacing w:after="60" w:before="140" w:line="276"/>
        <w:ind w:left="604" w:hanging="604"/>
      </w:pPr>
      <w:r>
        <w:rPr>
          <w:rFonts w:ascii="Calibri" w:cs="Calibri" w:eastAsia="Calibri" w:hAnsi="Calibri"/>
          <w:b/>
          <w:bCs/>
          <w:color w:val="0D6B5E"/>
          <w:sz w:val="21"/>
          <w:szCs w:val="21"/>
        </w:rPr>
        <w:t xml:space="preserve">6.2  </w:t>
      </w:r>
      <w:r>
        <w:rPr>
          <w:rFonts w:ascii="Calibri" w:cs="Calibri" w:eastAsia="Calibri" w:hAnsi="Calibri"/>
          <w:color w:val="1A1A1A"/>
          <w:sz w:val="21"/>
          <w:szCs w:val="21"/>
        </w:rPr>
        <w:t xml:space="preserve">Verify the contents against the packing list.</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Check product name, stated quantity, stated purity, and the supplier’s own lot or batch number.</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Record any discrepancy on the packing list in ink and initial it. Do not correct it silently.</w:t>
      </w:r>
    </w:p>
    <w:p>
      <w:pPr>
        <w:spacing w:after="60" w:before="140" w:line="276"/>
        <w:ind w:left="604" w:hanging="604"/>
      </w:pPr>
      <w:r>
        <w:rPr>
          <w:rFonts w:ascii="Calibri" w:cs="Calibri" w:eastAsia="Calibri" w:hAnsi="Calibri"/>
          <w:b/>
          <w:bCs/>
          <w:color w:val="0D6B5E"/>
          <w:sz w:val="21"/>
          <w:szCs w:val="21"/>
        </w:rPr>
        <w:t xml:space="preserve">6.3  </w:t>
      </w:r>
      <w:r>
        <w:rPr>
          <w:rFonts w:ascii="Calibri" w:cs="Calibri" w:eastAsia="Calibri" w:hAnsi="Calibri"/>
          <w:color w:val="1A1A1A"/>
          <w:sz w:val="21"/>
          <w:szCs w:val="21"/>
        </w:rPr>
        <w:t xml:space="preserve">Assign a NexPhase lot number.</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Format: PRODUCTCODE + SIZE – YYMM – SEQ. Example: GHKCU50-2605-01 is GHK-Cu, 50 mg, received 2026-05, first lot of that month.</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Product codes in use: BPC157, NAD, GHKCU, TESA, SELANK, NP2T, NP3R.</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SIZE is the milligram strength of the unit. YYMM is the year and month of receipt. SEQ restarts at 01 each month for each product.</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A lot number is never reused, never edited, and never assigned to two shipments.</w:t>
      </w:r>
    </w:p>
    <w:p>
      <w:pPr>
        <w:spacing w:after="60" w:before="140" w:line="276"/>
        <w:ind w:left="604" w:hanging="604"/>
      </w:pPr>
      <w:r>
        <w:rPr>
          <w:rFonts w:ascii="Calibri" w:cs="Calibri" w:eastAsia="Calibri" w:hAnsi="Calibri"/>
          <w:b/>
          <w:bCs/>
          <w:color w:val="0D6B5E"/>
          <w:sz w:val="21"/>
          <w:szCs w:val="21"/>
        </w:rPr>
        <w:t xml:space="preserve">6.4  </w:t>
      </w:r>
      <w:r>
        <w:rPr>
          <w:rFonts w:ascii="Calibri" w:cs="Calibri" w:eastAsia="Calibri" w:hAnsi="Calibri"/>
          <w:color w:val="1A1A1A"/>
          <w:sz w:val="21"/>
          <w:szCs w:val="21"/>
        </w:rPr>
        <w:t xml:space="preserve">Label every container physically.</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Each container gets the NexPhase lot number and the word QUARANTINE, printed, not handwritten.</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Quarantine labels stay on until Step 6.8 of SOP-002 removes them.</w:t>
      </w:r>
    </w:p>
    <w:p>
      <w:pPr>
        <w:spacing w:after="60" w:before="140" w:line="276"/>
        <w:ind w:left="604" w:hanging="604"/>
      </w:pPr>
      <w:r>
        <w:rPr>
          <w:rFonts w:ascii="Calibri" w:cs="Calibri" w:eastAsia="Calibri" w:hAnsi="Calibri"/>
          <w:b/>
          <w:bCs/>
          <w:color w:val="0D6B5E"/>
          <w:sz w:val="21"/>
          <w:szCs w:val="21"/>
        </w:rPr>
        <w:t xml:space="preserve">6.5  </w:t>
      </w:r>
      <w:r>
        <w:rPr>
          <w:rFonts w:ascii="Calibri" w:cs="Calibri" w:eastAsia="Calibri" w:hAnsi="Calibri"/>
          <w:color w:val="1A1A1A"/>
          <w:sz w:val="21"/>
          <w:szCs w:val="21"/>
        </w:rPr>
        <w:t xml:space="preserve">Create the Lot Register entry.</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One row per lot. The required fields are listed in Section 7.</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Set Status to QUARANTINE. This is the only status permitted at receipt.</w:t>
      </w:r>
    </w:p>
    <w:p>
      <w:pPr>
        <w:spacing w:after="60" w:before="140" w:line="276"/>
        <w:ind w:left="604" w:hanging="604"/>
      </w:pPr>
      <w:r>
        <w:rPr>
          <w:rFonts w:ascii="Calibri" w:cs="Calibri" w:eastAsia="Calibri" w:hAnsi="Calibri"/>
          <w:b/>
          <w:bCs/>
          <w:color w:val="0D6B5E"/>
          <w:sz w:val="21"/>
          <w:szCs w:val="21"/>
        </w:rPr>
        <w:t xml:space="preserve">6.6  </w:t>
      </w:r>
      <w:r>
        <w:rPr>
          <w:rFonts w:ascii="Calibri" w:cs="Calibri" w:eastAsia="Calibri" w:hAnsi="Calibri"/>
          <w:color w:val="1A1A1A"/>
          <w:sz w:val="21"/>
          <w:szCs w:val="21"/>
        </w:rPr>
        <w:t xml:space="preserve">Store the material in the designated quarantine location.</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Quarantine material is physically separated from released stock — a distinct shelf, bin, or refrigerator section, marked as such.</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Observe the supplier’s stated storage conditions. Record the storage temperature in the Lot Register.</w:t>
      </w:r>
    </w:p>
    <w:p>
      <w:pPr>
        <w:spacing w:after="60" w:before="140" w:line="276"/>
        <w:ind w:left="604" w:hanging="604"/>
      </w:pPr>
      <w:r>
        <w:rPr>
          <w:rFonts w:ascii="Calibri" w:cs="Calibri" w:eastAsia="Calibri" w:hAnsi="Calibri"/>
          <w:b/>
          <w:bCs/>
          <w:color w:val="0D6B5E"/>
          <w:sz w:val="21"/>
          <w:szCs w:val="21"/>
        </w:rPr>
        <w:t xml:space="preserve">6.7  </w:t>
      </w:r>
      <w:r>
        <w:rPr>
          <w:rFonts w:ascii="Calibri" w:cs="Calibri" w:eastAsia="Calibri" w:hAnsi="Calibri"/>
          <w:color w:val="1A1A1A"/>
          <w:sz w:val="21"/>
          <w:szCs w:val="21"/>
        </w:rPr>
        <w:t xml:space="preserve">Confirm the product is not sellable in the storefront.</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In WooCommerce, the product must be out of stock or the lot must not be added to available inventory.</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A lot in quarantine that appears as purchasable is a control failure. Correct it immediately and note it in Section 8 records.</w:t>
      </w:r>
    </w:p>
    <w:p>
      <w:pPr>
        <w:spacing w:after="60" w:before="140" w:line="276"/>
        <w:ind w:left="604" w:hanging="604"/>
      </w:pPr>
      <w:r>
        <w:rPr>
          <w:rFonts w:ascii="Calibri" w:cs="Calibri" w:eastAsia="Calibri" w:hAnsi="Calibri"/>
          <w:b/>
          <w:bCs/>
          <w:color w:val="0D6B5E"/>
          <w:sz w:val="21"/>
          <w:szCs w:val="21"/>
        </w:rPr>
        <w:t xml:space="preserve">6.8  </w:t>
      </w:r>
      <w:r>
        <w:rPr>
          <w:rFonts w:ascii="Calibri" w:cs="Calibri" w:eastAsia="Calibri" w:hAnsi="Calibri"/>
          <w:color w:val="1A1A1A"/>
          <w:sz w:val="21"/>
          <w:szCs w:val="21"/>
        </w:rPr>
        <w:t xml:space="preserve">Submit the lot for testing.</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Open a testing order with ILS Labs through the customer portal.</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Reference the NexPhase lot number on the submission, not the supplier’s batch number.</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Record the ILS Labs accession number (format ACC-YYYY-NNNN) in the Lot Register when it is issued.</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The lot remains in quarantine until SOP-002 releases it. There is no exception to this step.</w:t>
      </w:r>
    </w:p>
    <w:p>
      <w:pPr>
        <w:spacing w:after="60" w:before="140" w:line="276"/>
        <w:ind w:left="604" w:hanging="604"/>
      </w:pPr>
      <w:r>
        <w:rPr>
          <w:rFonts w:ascii="Calibri" w:cs="Calibri" w:eastAsia="Calibri" w:hAnsi="Calibri"/>
          <w:b/>
          <w:bCs/>
          <w:color w:val="0D6B5E"/>
          <w:sz w:val="21"/>
          <w:szCs w:val="21"/>
        </w:rPr>
        <w:t xml:space="preserve">6.9  </w:t>
      </w:r>
      <w:r>
        <w:rPr>
          <w:rFonts w:ascii="Calibri" w:cs="Calibri" w:eastAsia="Calibri" w:hAnsi="Calibri"/>
          <w:color w:val="1A1A1A"/>
          <w:sz w:val="21"/>
          <w:szCs w:val="21"/>
        </w:rPr>
        <w:t xml:space="preserve">File the receipt paperwork.</w:t>
      </w:r>
    </w:p>
    <w:p>
      <w:pPr>
        <w:spacing w:after="60" w:line="264"/>
        <w:ind w:left="1036" w:hanging="288"/>
      </w:pPr>
      <w:r>
        <w:rPr>
          <w:rFonts w:ascii="Calibri" w:cs="Calibri" w:eastAsia="Calibri" w:hAnsi="Calibri"/>
          <w:color w:val="5F6B66"/>
          <w:sz w:val="21"/>
          <w:szCs w:val="21"/>
        </w:rPr>
        <w:t xml:space="preserve">–  </w:t>
      </w:r>
      <w:r>
        <w:rPr>
          <w:rFonts w:ascii="Calibri" w:cs="Calibri" w:eastAsia="Calibri" w:hAnsi="Calibri"/>
          <w:color w:val="1A1A1A"/>
          <w:sz w:val="20"/>
          <w:szCs w:val="20"/>
        </w:rPr>
        <w:t xml:space="preserve">Packing list, supplier invoice, shipment photographs, and the Trade Assurance order number are saved together under the lot number.</w:t>
      </w:r>
    </w:p>
    <w:p>
      <w:pPr>
        <w:pStyle w:val="Heading1"/>
        <w:spacing w:after="140" w:before="320"/>
      </w:pPr>
      <w:r>
        <w:rPr>
          <w:rFonts w:ascii="Calibri" w:cs="Calibri" w:eastAsia="Calibri" w:hAnsi="Calibri"/>
          <w:b/>
          <w:bCs/>
          <w:color w:val="1A1A1A"/>
          <w:sz w:val="26"/>
          <w:szCs w:val="26"/>
        </w:rPr>
        <w:t xml:space="preserve">7.  The Lot Register</w:t>
      </w:r>
    </w:p>
    <w:p>
      <w:pPr>
        <w:spacing w:after="120" w:line="276"/>
      </w:pPr>
      <w:r>
        <w:rPr>
          <w:rFonts w:ascii="Calibri" w:cs="Calibri" w:eastAsia="Calibri" w:hAnsi="Calibri"/>
          <w:color w:val="1A1A1A"/>
          <w:sz w:val="21"/>
          <w:szCs w:val="21"/>
        </w:rPr>
        <w:t xml:space="preserve">Every lot has one row. These fields are mandatory at receipt:</w:t>
      </w:r>
    </w:p>
    <w:tbl>
      <w:tblPr>
        <w:tblW w:type="dxa" w:w="10000"/>
        <w:tblBorders>
          <w:top w:val="single" w:color="BFC9C4" w:sz="4"/>
          <w:left w:val="single" w:color="BFC9C4" w:sz="4"/>
          <w:bottom w:val="single" w:color="BFC9C4" w:sz="4"/>
          <w:right w:val="single" w:color="BFC9C4" w:sz="4"/>
          <w:insideH w:val="single" w:color="BFC9C4" w:sz="4"/>
          <w:insideV w:val="single" w:color="BFC9C4" w:sz="4"/>
        </w:tblBorders>
      </w:tblPr>
      <w:tblGrid>
        <w:gridCol w:w="3000"/>
        <w:gridCol w:w="7000"/>
      </w:tblGrid>
      <w:tr>
        <w:trPr>
          <w:tblHeader/>
        </w:trPr>
        <w:tc>
          <w:tcPr>
            <w:tcW w:type="dxa" w:w="30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Field</w:t>
            </w:r>
          </w:p>
        </w:tc>
        <w:tc>
          <w:tcPr>
            <w:tcW w:type="dxa" w:w="70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Entered at receipt</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Lot number</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Assigned per Step 6.3. Primary key — every other record points at this.</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Product</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Catalog name as listed on the storefront.</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Quantity received</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Units and total mass.</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Supplier</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Company name, plus the Alibaba Trade Assurance order number where applicable.</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Date received</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Calendar date the shipment arrived.</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Received by</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Name of the person who performed this procedure.</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Supplier batch no.</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The supplier’s own identifier, recorded but never used as the NexPhase lot number.</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Storage location</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Physical quarantine location and temperature.</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ILS accession no.</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Added at Step 6.8 when testing is submitted.</w:t>
            </w:r>
          </w:p>
        </w:tc>
      </w:tr>
      <w:tr>
        <w:trPr>
          <w:tblHeader w:val="false"/>
        </w:trPr>
        <w:tc>
          <w:tcPr>
            <w:tcW w:type="dxa" w:w="3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Status</w:t>
            </w:r>
          </w:p>
        </w:tc>
        <w:tc>
          <w:tcPr>
            <w:tcW w:type="dxa" w:w="70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QUARANTINE at receipt. Only SOP-002 may change this.</w:t>
            </w:r>
          </w:p>
        </w:tc>
      </w:tr>
    </w:tbl>
    <w:p>
      <w:pPr>
        <w:pStyle w:val="Heading1"/>
        <w:spacing w:after="140" w:before="320"/>
      </w:pPr>
      <w:r>
        <w:rPr>
          <w:rFonts w:ascii="Calibri" w:cs="Calibri" w:eastAsia="Calibri" w:hAnsi="Calibri"/>
          <w:b/>
          <w:bCs/>
          <w:color w:val="1A1A1A"/>
          <w:sz w:val="26"/>
          <w:szCs w:val="26"/>
        </w:rPr>
        <w:t xml:space="preserve">8.  Records generated</w:t>
      </w:r>
    </w:p>
    <w:p>
      <w:pPr>
        <w:spacing w:after="120" w:line="276"/>
      </w:pPr>
      <w:r>
        <w:rPr>
          <w:rFonts w:ascii="Calibri" w:cs="Calibri" w:eastAsia="Calibri" w:hAnsi="Calibri"/>
          <w:color w:val="1A1A1A"/>
          <w:sz w:val="21"/>
          <w:szCs w:val="21"/>
        </w:rPr>
        <w:t xml:space="preserve">Retain for a minimum of five years from the date the last unit of the lot ships: the Lot Register row, the packing list, the supplier invoice, shipment photographs, the testing submission confirmation, and any deviation note.</w:t>
      </w:r>
    </w:p>
    <w:p>
      <w:pPr>
        <w:pStyle w:val="Heading1"/>
        <w:spacing w:after="140" w:before="320"/>
      </w:pPr>
      <w:r>
        <w:rPr>
          <w:rFonts w:ascii="Calibri" w:cs="Calibri" w:eastAsia="Calibri" w:hAnsi="Calibri"/>
          <w:b/>
          <w:bCs/>
          <w:color w:val="1A1A1A"/>
          <w:sz w:val="26"/>
          <w:szCs w:val="26"/>
        </w:rPr>
        <w:t xml:space="preserve">9.  Deviations</w:t>
      </w:r>
    </w:p>
    <w:p>
      <w:pPr>
        <w:spacing w:after="120" w:line="276"/>
      </w:pPr>
      <w:r>
        <w:rPr>
          <w:rFonts w:ascii="Calibri" w:cs="Calibri" w:eastAsia="Calibri" w:hAnsi="Calibri"/>
          <w:color w:val="1A1A1A"/>
          <w:sz w:val="21"/>
          <w:szCs w:val="21"/>
        </w:rPr>
        <w:t xml:space="preserve">If any step cannot be completed as written, stop, leave the material in quarantine, and record what happened and why in a dated deviation note filed under the lot number. Ammre approves every deviation in writing before the lot moves forward. A deviation that is not written down did not happen — and cannot be defended later.</w:t>
      </w:r>
    </w:p>
    <w:p>
      <w:pPr>
        <w:spacing w:after="120" w:before="200"/>
      </w:pPr>
    </w:p>
    <w:p>
      <w:pPr>
        <w:pStyle w:val="Heading1"/>
        <w:spacing w:after="140" w:before="320"/>
      </w:pPr>
      <w:r>
        <w:rPr>
          <w:rFonts w:ascii="Calibri" w:cs="Calibri" w:eastAsia="Calibri" w:hAnsi="Calibri"/>
          <w:b/>
          <w:bCs/>
          <w:color w:val="1A1A1A"/>
          <w:sz w:val="26"/>
          <w:szCs w:val="26"/>
        </w:rPr>
        <w:t xml:space="preserve">10.  Approval</w:t>
      </w:r>
    </w:p>
    <w:p>
      <w:pPr>
        <w:spacing w:after="120" w:line="276"/>
      </w:pPr>
      <w:r>
        <w:rPr>
          <w:rFonts w:ascii="Calibri" w:cs="Calibri" w:eastAsia="Calibri" w:hAnsi="Calibri"/>
          <w:color w:val="1A1A1A"/>
          <w:sz w:val="21"/>
          <w:szCs w:val="21"/>
        </w:rPr>
        <w:t xml:space="preserve">This procedure takes effect on the date signed and remains in force until superseded by a later revision.</w:t>
      </w:r>
    </w:p>
    <w:tbl>
      <w:tblPr>
        <w:tblW w:type="dxa" w:w="10000"/>
        <w:tblBorders>
          <w:top w:val="single" w:color="BFC9C4" w:sz="4"/>
          <w:left w:val="single" w:color="BFC9C4" w:sz="4"/>
          <w:bottom w:val="single" w:color="BFC9C4" w:sz="4"/>
          <w:right w:val="single" w:color="BFC9C4" w:sz="4"/>
          <w:insideH w:val="single" w:color="BFC9C4" w:sz="4"/>
          <w:insideV w:val="single" w:color="BFC9C4" w:sz="4"/>
        </w:tblBorders>
      </w:tblPr>
      <w:tblGrid>
        <w:gridCol w:w="3400"/>
        <w:gridCol w:w="3300"/>
        <w:gridCol w:w="3300"/>
      </w:tblGrid>
      <w:tr>
        <w:trPr>
          <w:tblHeader/>
        </w:trPr>
        <w:tc>
          <w:tcPr>
            <w:tcW w:type="dxa" w:w="34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Role</w:t>
            </w:r>
          </w:p>
        </w:tc>
        <w:tc>
          <w:tcPr>
            <w:tcW w:type="dxa" w:w="33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Name</w:t>
            </w:r>
          </w:p>
        </w:tc>
        <w:tc>
          <w:tcPr>
            <w:tcW w:type="dxa" w:w="33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Signature / date</w:t>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Prepared by</w:t>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Process owner</w:t>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4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Approved by</w:t>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Ammre Barakat</w:t>
            </w:r>
          </w:p>
        </w:tc>
        <w:tc>
          <w:tcPr>
            <w:tcW w:type="dxa" w:w="33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r>
    </w:tbl>
    <w:p>
      <w:pPr>
        <w:pStyle w:val="Heading1"/>
        <w:spacing w:after="140" w:before="320"/>
      </w:pPr>
      <w:r>
        <w:rPr>
          <w:rFonts w:ascii="Calibri" w:cs="Calibri" w:eastAsia="Calibri" w:hAnsi="Calibri"/>
          <w:b/>
          <w:bCs/>
          <w:color w:val="1A1A1A"/>
          <w:sz w:val="26"/>
          <w:szCs w:val="26"/>
        </w:rPr>
        <w:t xml:space="preserve">11.  Revision history</w:t>
      </w:r>
    </w:p>
    <w:tbl>
      <w:tblPr>
        <w:tblW w:type="dxa" w:w="10000"/>
        <w:tblBorders>
          <w:top w:val="single" w:color="BFC9C4" w:sz="4"/>
          <w:left w:val="single" w:color="BFC9C4" w:sz="4"/>
          <w:bottom w:val="single" w:color="BFC9C4" w:sz="4"/>
          <w:right w:val="single" w:color="BFC9C4" w:sz="4"/>
          <w:insideH w:val="single" w:color="BFC9C4" w:sz="4"/>
          <w:insideV w:val="single" w:color="BFC9C4" w:sz="4"/>
        </w:tblBorders>
      </w:tblPr>
      <w:tblGrid>
        <w:gridCol w:w="1500"/>
        <w:gridCol w:w="2200"/>
        <w:gridCol w:w="3100"/>
        <w:gridCol w:w="3200"/>
      </w:tblGrid>
      <w:tr>
        <w:trPr>
          <w:tblHeader/>
        </w:trPr>
        <w:tc>
          <w:tcPr>
            <w:tcW w:type="dxa" w:w="15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Revision</w:t>
            </w:r>
          </w:p>
        </w:tc>
        <w:tc>
          <w:tcPr>
            <w:tcW w:type="dxa" w:w="22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Date</w:t>
            </w:r>
          </w:p>
        </w:tc>
        <w:tc>
          <w:tcPr>
            <w:tcW w:type="dxa" w:w="31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Author</w:t>
            </w:r>
          </w:p>
        </w:tc>
        <w:tc>
          <w:tcPr>
            <w:tcW w:type="dxa" w:w="3200"/>
            <w:shd w:fill="EEF2EF" w:color="auto" w:val="clear"/>
            <w:tcMar>
              <w:top w:type="dxa" w:w="90"/>
              <w:left w:type="dxa" w:w="130"/>
              <w:bottom w:type="dxa" w:w="90"/>
              <w:right w:type="dxa" w:w="130"/>
            </w:tcMar>
          </w:tcPr>
          <w:p>
            <w:pPr>
              <w:spacing w:after="0" w:line="252"/>
            </w:pPr>
            <w:r>
              <w:rPr>
                <w:rFonts w:ascii="Calibri" w:cs="Calibri" w:eastAsia="Calibri" w:hAnsi="Calibri"/>
                <w:b/>
                <w:bCs/>
                <w:color w:val="1A1A1A"/>
                <w:sz w:val="19"/>
                <w:szCs w:val="19"/>
              </w:rPr>
              <w:t xml:space="preserve">Change</w:t>
            </w:r>
          </w:p>
        </w:tc>
      </w:tr>
      <w:tr>
        <w:trPr>
          <w:tblHeader w:val="false"/>
        </w:trPr>
        <w:tc>
          <w:tcPr>
            <w:tcW w:type="dxa" w:w="15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1.0</w:t>
            </w:r>
          </w:p>
        </w:tc>
        <w:tc>
          <w:tcPr>
            <w:tcW w:type="dxa" w:w="2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c>
          <w:tcPr>
            <w:tcW w:type="dxa" w:w="31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
            </w:r>
          </w:p>
        </w:tc>
        <w:tc>
          <w:tcPr>
            <w:tcW w:type="dxa" w:w="3200"/>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Initial issue.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4" w:sz="4" w:space="6"/>
      </w:pBdr>
      <w:jc w:val="left"/>
    </w:pPr>
    <w:r>
      <w:rPr>
        <w:rFonts w:ascii="Calibri" w:cs="Calibri" w:eastAsia="Calibri" w:hAnsi="Calibri"/>
        <w:color w:val="5F6B66"/>
        <w:sz w:val="16"/>
        <w:szCs w:val="16"/>
      </w:rPr>
      <w:t xml:space="preserve">8486 Ventures LLC  ·  NexPhase Labs  ·  SOP-001 Rev 1.0  ·  Page </w:t>
    </w:r>
    <w:r>
      <w:rPr>
        <w:rFonts w:ascii="Calibri" w:cs="Calibri" w:eastAsia="Calibri" w:hAnsi="Calibri"/>
        <w:color w:val="5F6B66"/>
        <w:sz w:val="16"/>
        <w:szCs w:val="16"/>
      </w:rPr>
      <w:fldChar w:fldCharType="begin"/>
      <w:instrText xml:space="preserve">PAGE</w:instrText>
      <w:fldChar w:fldCharType="separate"/>
      <w:fldChar w:fldCharType="end"/>
    </w:r>
    <w:r>
      <w:rPr>
        <w:rFonts w:ascii="Calibri" w:cs="Calibri" w:eastAsia="Calibri" w:hAnsi="Calibri"/>
        <w:color w:val="5F6B66"/>
        <w:sz w:val="16"/>
        <w:szCs w:val="16"/>
      </w:rPr>
      <w:t xml:space="preserve"> of </w:t>
    </w:r>
    <w:r>
      <w:rPr>
        <w:rFonts w:ascii="Calibri" w:cs="Calibri" w:eastAsia="Calibri" w:hAnsi="Calibri"/>
        <w:color w:val="5F6B66"/>
        <w:sz w:val="16"/>
        <w:szCs w:val="16"/>
      </w:rPr>
      <w:fldChar w:fldCharType="begin"/>
      <w:instrText xml:space="preserve">NUMPAGES</w:instrText>
      <w:fldChar w:fldCharType="separate"/>
      <w:fldChar w:fldCharType="end"/>
    </w:r>
    <w:r>
      <w:rPr>
        <w:rFonts w:ascii="Calibri" w:cs="Calibri" w:eastAsia="Calibri" w:hAnsi="Calibri"/>
        <w:color w:val="5F6B66"/>
        <w:sz w:val="16"/>
        <w:szCs w:val="16"/>
      </w:rPr>
      <w:t xml:space="preserve">   ·   Uncontrolled when printed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SOP-001</dc:title>
  <dc:creator>8486 Ventures LLC</dc:creator>
  <cp:lastModifiedBy>Un-named</cp:lastModifiedBy>
  <cp:revision>1</cp:revision>
  <dcterms:created xsi:type="dcterms:W3CDTF">2026-09-03T05:12:07.903Z</dcterms:created>
  <dcterms:modified xsi:type="dcterms:W3CDTF">2026-09-03T05:12:07.903Z</dcterms:modified>
</cp:coreProperties>
</file>

<file path=docProps/custom.xml><?xml version="1.0" encoding="utf-8"?>
<Properties xmlns="http://schemas.openxmlformats.org/officeDocument/2006/custom-properties" xmlns:vt="http://schemas.openxmlformats.org/officeDocument/2006/docPropsVTypes"/>
</file>