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Business Operations Control Manual</w:t>
      </w:r>
    </w:p>
    <w:p>
      <w:pPr>
        <w:pStyle w:val="Subtitle"/>
      </w:pPr>
      <w:r>
        <w:rPr>
          <w:color w:val="000000"/>
        </w:rPr>
        <w:t>How NexPhase assigns work controls evidence and approves readiness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rPr>
          <w:tblHeader w:val="true"/>
        </w:trPr>
        <w:tc>
          <w:tcPr>
            <w:tcW w:type="dxa" w:w="1800"/>
            <w:shd w:fill="17365D"/>
            <w:vAlign w:val="center"/>
            <w:tcMar>
              <w:top w:w="100" w:type="dxa"/>
              <w:start w:w="110" w:type="dxa"/>
              <w:bottom w:w="100" w:type="dxa"/>
              <w:end w:w="110" w:type="dxa"/>
            </w:tcMar>
          </w:tcPr>
          <w:p>
            <w:pPr>
              <w:jc w:val="center"/>
            </w:pPr>
            <w:r>
              <w:rPr>
                <w:b/>
                <w:color w:val="FFFFFF"/>
                <w:sz w:val="18"/>
              </w:rPr>
              <w:t>Document</w:t>
            </w:r>
          </w:p>
        </w:tc>
        <w:tc>
          <w:tcPr>
            <w:tcW w:type="dxa" w:w="1656"/>
            <w:shd w:fill="17365D"/>
            <w:vAlign w:val="center"/>
            <w:tcMar>
              <w:top w:w="100" w:type="dxa"/>
              <w:start w:w="110" w:type="dxa"/>
              <w:bottom w:w="100" w:type="dxa"/>
              <w:end w:w="110" w:type="dxa"/>
            </w:tcMar>
          </w:tcPr>
          <w:p>
            <w:pPr>
              <w:jc w:val="center"/>
            </w:pPr>
            <w:r>
              <w:rPr>
                <w:b/>
                <w:color w:val="FFFFFF"/>
                <w:sz w:val="18"/>
              </w:rPr>
              <w:t>Revision</w:t>
            </w:r>
          </w:p>
        </w:tc>
        <w:tc>
          <w:tcPr>
            <w:tcW w:type="dxa" w:w="2448"/>
            <w:shd w:fill="17365D"/>
            <w:vAlign w:val="center"/>
            <w:tcMar>
              <w:top w:w="100" w:type="dxa"/>
              <w:start w:w="110" w:type="dxa"/>
              <w:bottom w:w="100" w:type="dxa"/>
              <w:end w:w="110" w:type="dxa"/>
            </w:tcMar>
          </w:tcPr>
          <w:p>
            <w:pPr>
              <w:jc w:val="center"/>
            </w:pPr>
            <w:r>
              <w:rPr>
                <w:b/>
                <w:color w:val="FFFFFF"/>
                <w:sz w:val="18"/>
              </w:rPr>
              <w:t>Status</w:t>
            </w:r>
          </w:p>
        </w:tc>
        <w:tc>
          <w:tcPr>
            <w:tcW w:type="dxa" w:w="3384"/>
            <w:shd w:fill="17365D"/>
            <w:vAlign w:val="center"/>
            <w:tcMar>
              <w:top w:w="100" w:type="dxa"/>
              <w:start w:w="110" w:type="dxa"/>
              <w:bottom w:w="100" w:type="dxa"/>
              <w:end w:w="110" w:type="dxa"/>
            </w:tcMar>
          </w:tcPr>
          <w:p>
            <w:pPr>
              <w:jc w:val="center"/>
            </w:pPr>
            <w:r>
              <w:rPr>
                <w:b/>
                <w:color w:val="FFFFFF"/>
                <w:sz w:val="18"/>
              </w:rPr>
              <w:t>Review cycle</w:t>
            </w:r>
          </w:p>
        </w:tc>
      </w:tr>
      <w:tr>
        <w:trPr>
          <w:cantSplit/>
        </w:trPr>
        <w:tc>
          <w:tcPr>
            <w:tcW w:type="dxa" w:w="1800"/>
            <w:vAlign w:val="center"/>
            <w:tcMar>
              <w:top w:w="100" w:type="dxa"/>
              <w:start w:w="110" w:type="dxa"/>
              <w:bottom w:w="100" w:type="dxa"/>
              <w:end w:w="110" w:type="dxa"/>
            </w:tcMar>
          </w:tcPr>
          <w:p>
            <w:pPr>
              <w:jc w:val="center"/>
            </w:pPr>
            <w:r>
              <w:t>MAN 001</w:t>
            </w:r>
          </w:p>
        </w:tc>
        <w:tc>
          <w:tcPr>
            <w:tcW w:type="dxa" w:w="1656"/>
            <w:vAlign w:val="center"/>
            <w:tcMar>
              <w:top w:w="100" w:type="dxa"/>
              <w:start w:w="110" w:type="dxa"/>
              <w:bottom w:w="100" w:type="dxa"/>
              <w:end w:w="110" w:type="dxa"/>
            </w:tcMar>
          </w:tcPr>
          <w:p>
            <w:pPr>
              <w:jc w:val="center"/>
            </w:pPr>
            <w:r>
              <w:t>Revision 0 1</w:t>
            </w:r>
          </w:p>
        </w:tc>
        <w:tc>
          <w:tcPr>
            <w:tcW w:type="dxa" w:w="2448"/>
            <w:vAlign w:val="center"/>
            <w:tcMar>
              <w:top w:w="100" w:type="dxa"/>
              <w:start w:w="110" w:type="dxa"/>
              <w:bottom w:w="100" w:type="dxa"/>
              <w:end w:w="110" w:type="dxa"/>
            </w:tcMar>
          </w:tcPr>
          <w:p>
            <w:pPr>
              <w:jc w:val="center"/>
            </w:pPr>
            <w:r>
              <w:t>Controlled draft</w:t>
            </w:r>
          </w:p>
        </w:tc>
        <w:tc>
          <w:tcPr>
            <w:tcW w:type="dxa" w:w="3384"/>
            <w:vAlign w:val="center"/>
            <w:tcMar>
              <w:top w:w="100" w:type="dxa"/>
              <w:start w:w="110" w:type="dxa"/>
              <w:bottom w:w="100" w:type="dxa"/>
              <w:end w:w="110" w:type="dxa"/>
            </w:tcMar>
          </w:tcPr>
          <w:p>
            <w:pPr>
              <w:jc w:val="left"/>
            </w:pPr>
            <w:r>
              <w:t>Annual and after material change</w:t>
            </w:r>
          </w:p>
        </w:tc>
      </w:tr>
    </w:tbl>
    <w:p>
      <w:pPr>
        <w:spacing w:after="20"/>
      </w:pPr>
    </w:p>
    <w:p>
      <w:r>
        <w:rPr>
          <w:b/>
        </w:rPr>
        <w:t xml:space="preserve">Issuance condition  </w:t>
      </w:r>
      <w:r>
        <w:t>The authorized members must approve the authority matrix and open policies, then named operators must complete a staging walkthrough. Record approval and training evidence in Operating Controls before changing this document to issued.</w:t>
      </w:r>
    </w:p>
    <w:p>
      <w:pPr>
        <w:pStyle w:val="Heading1"/>
      </w:pPr>
      <w:r>
        <w:t>Manual purpose</w:t>
      </w:r>
    </w:p>
    <w:p>
      <w:r>
        <w:t>This manual defines the operating system around NexPhase transactions. It tells staff where work begins, who owns the next action, what evidence completes it, how exceptions are escalated, and when the business may accept real orders. The application records operational facts; controlled files hold source evidence and issued documents.</w:t>
      </w:r>
    </w:p>
    <w:p>
      <w:pPr>
        <w:pStyle w:val="Heading1"/>
      </w:pPr>
      <w:r>
        <w:t>Operating status</w:t>
      </w:r>
    </w:p>
    <w:p>
      <w:r>
        <w:t>The transaction engine is built and automated tests cover the current workflows. Production acceptance remains closed until every launch critical control has a named owner, current evidence, and administrator review. Simulated provider results do not prove payment, tax, email, or carrier readiness.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trPr>
        <w:tc>
          <w:tcPr>
            <w:tcW w:type="dxa" w:w="2232"/>
            <w:shd w:fill="17365D"/>
            <w:vAlign w:val="center"/>
            <w:tcMar>
              <w:top w:w="100" w:type="dxa"/>
              <w:start w:w="110" w:type="dxa"/>
              <w:bottom w:w="100" w:type="dxa"/>
              <w:end w:w="110" w:type="dxa"/>
            </w:tcMar>
          </w:tcPr>
          <w:p>
            <w:pPr>
              <w:jc w:val="center"/>
            </w:pPr>
            <w:r>
              <w:rPr>
                <w:b/>
                <w:color w:val="FFFFFF"/>
                <w:sz w:val="18"/>
              </w:rPr>
              <w:t>Term</w:t>
            </w:r>
          </w:p>
        </w:tc>
        <w:tc>
          <w:tcPr>
            <w:tcW w:type="dxa" w:w="7488"/>
            <w:shd w:fill="17365D"/>
            <w:vAlign w:val="center"/>
            <w:tcMar>
              <w:top w:w="100" w:type="dxa"/>
              <w:start w:w="110" w:type="dxa"/>
              <w:bottom w:w="100" w:type="dxa"/>
              <w:end w:w="110" w:type="dxa"/>
            </w:tcMar>
          </w:tcPr>
          <w:p>
            <w:pPr>
              <w:jc w:val="center"/>
            </w:pPr>
            <w:r>
              <w:rPr>
                <w:b/>
                <w:color w:val="FFFFFF"/>
                <w:sz w:val="18"/>
              </w:rPr>
              <w:t>Meaning</w:t>
            </w:r>
          </w:p>
        </w:tc>
      </w:tr>
      <w:tr>
        <w:trPr>
          <w:cantSplit/>
        </w:trPr>
        <w:tc>
          <w:tcPr>
            <w:tcW w:type="dxa" w:w="2232"/>
            <w:vAlign w:val="center"/>
            <w:tcMar>
              <w:top w:w="100" w:type="dxa"/>
              <w:start w:w="110" w:type="dxa"/>
              <w:bottom w:w="100" w:type="dxa"/>
              <w:end w:w="110" w:type="dxa"/>
            </w:tcMar>
          </w:tcPr>
          <w:p>
            <w:pPr>
              <w:jc w:val="center"/>
            </w:pPr>
            <w:r>
              <w:t>Built</w:t>
            </w:r>
          </w:p>
        </w:tc>
        <w:tc>
          <w:tcPr>
            <w:tcW w:type="dxa" w:w="7488"/>
            <w:vAlign w:val="center"/>
            <w:tcMar>
              <w:top w:w="100" w:type="dxa"/>
              <w:start w:w="110" w:type="dxa"/>
              <w:bottom w:w="100" w:type="dxa"/>
              <w:end w:w="110" w:type="dxa"/>
            </w:tcMar>
          </w:tcPr>
          <w:p>
            <w:pPr>
              <w:jc w:val="left"/>
            </w:pPr>
            <w:r>
              <w:t>The workflow and its data rules exist in the application.</w:t>
            </w:r>
          </w:p>
        </w:tc>
      </w:tr>
      <w:tr>
        <w:trPr>
          <w:cantSplit/>
        </w:trPr>
        <w:tc>
          <w:tcPr>
            <w:tcW w:type="dxa" w:w="2232"/>
            <w:shd w:fill="EFF4F8"/>
            <w:vAlign w:val="center"/>
            <w:tcMar>
              <w:top w:w="100" w:type="dxa"/>
              <w:start w:w="110" w:type="dxa"/>
              <w:bottom w:w="100" w:type="dxa"/>
              <w:end w:w="110" w:type="dxa"/>
            </w:tcMar>
          </w:tcPr>
          <w:p>
            <w:pPr>
              <w:jc w:val="center"/>
            </w:pPr>
            <w:r>
              <w:t>Verified</w:t>
            </w:r>
          </w:p>
        </w:tc>
        <w:tc>
          <w:tcPr>
            <w:tcW w:type="dxa" w:w="7488"/>
            <w:shd w:fill="EFF4F8"/>
            <w:vAlign w:val="center"/>
            <w:tcMar>
              <w:top w:w="100" w:type="dxa"/>
              <w:start w:w="110" w:type="dxa"/>
              <w:bottom w:w="100" w:type="dxa"/>
              <w:end w:w="110" w:type="dxa"/>
            </w:tcMar>
          </w:tcPr>
          <w:p>
            <w:pPr>
              <w:jc w:val="left"/>
            </w:pPr>
            <w:r>
              <w:t>Automated tests or a controlled rehearsal demonstrate the expected path and failure path.</w:t>
            </w:r>
          </w:p>
        </w:tc>
      </w:tr>
      <w:tr>
        <w:trPr>
          <w:cantSplit/>
        </w:trPr>
        <w:tc>
          <w:tcPr>
            <w:tcW w:type="dxa" w:w="2232"/>
            <w:vAlign w:val="center"/>
            <w:tcMar>
              <w:top w:w="100" w:type="dxa"/>
              <w:start w:w="110" w:type="dxa"/>
              <w:bottom w:w="100" w:type="dxa"/>
              <w:end w:w="110" w:type="dxa"/>
            </w:tcMar>
          </w:tcPr>
          <w:p>
            <w:pPr>
              <w:jc w:val="center"/>
            </w:pPr>
            <w:r>
              <w:t>Operationally ready</w:t>
            </w:r>
          </w:p>
        </w:tc>
        <w:tc>
          <w:tcPr>
            <w:tcW w:type="dxa" w:w="7488"/>
            <w:vAlign w:val="center"/>
            <w:tcMar>
              <w:top w:w="100" w:type="dxa"/>
              <w:start w:w="110" w:type="dxa"/>
              <w:bottom w:w="100" w:type="dxa"/>
              <w:end w:w="110" w:type="dxa"/>
            </w:tcMar>
          </w:tcPr>
          <w:p>
            <w:pPr>
              <w:jc w:val="left"/>
            </w:pPr>
            <w:r>
              <w:t>A named owner, approved rule, real data or configuration, evidence, exception path, and monitoring exist.</w:t>
            </w:r>
          </w:p>
        </w:tc>
      </w:tr>
      <w:tr>
        <w:trPr>
          <w:cantSplit/>
        </w:trPr>
        <w:tc>
          <w:tcPr>
            <w:tcW w:type="dxa" w:w="2232"/>
            <w:shd w:fill="EFF4F8"/>
            <w:vAlign w:val="center"/>
            <w:tcMar>
              <w:top w:w="100" w:type="dxa"/>
              <w:start w:w="110" w:type="dxa"/>
              <w:bottom w:w="100" w:type="dxa"/>
              <w:end w:w="110" w:type="dxa"/>
            </w:tcMar>
          </w:tcPr>
          <w:p>
            <w:pPr>
              <w:jc w:val="center"/>
            </w:pPr>
            <w:r>
              <w:t>Launch approved</w:t>
            </w:r>
          </w:p>
        </w:tc>
        <w:tc>
          <w:tcPr>
            <w:tcW w:type="dxa" w:w="7488"/>
            <w:shd w:fill="EFF4F8"/>
            <w:vAlign w:val="center"/>
            <w:tcMar>
              <w:top w:w="100" w:type="dxa"/>
              <w:start w:w="110" w:type="dxa"/>
              <w:bottom w:w="100" w:type="dxa"/>
              <w:end w:w="110" w:type="dxa"/>
            </w:tcMar>
          </w:tcPr>
          <w:p>
            <w:pPr>
              <w:jc w:val="left"/>
            </w:pPr>
            <w:r>
              <w:t>Authorized members accept the remaining business risk and record the decision.</w:t>
            </w:r>
          </w:p>
        </w:tc>
      </w:tr>
    </w:tbl>
    <w:p>
      <w:pPr>
        <w:spacing w:after="20"/>
      </w:pPr>
    </w:p>
    <w:p>
      <w:pPr>
        <w:pStyle w:val="Heading1"/>
      </w:pPr>
      <w:r>
        <w:t>Operating principles</w:t>
      </w:r>
    </w:p>
    <w:p>
      <w:pPr>
        <w:pStyle w:val="ListBullet"/>
      </w:pPr>
      <w:r>
        <w:t>No material becomes sellable without a named quality disposition.</w:t>
      </w:r>
    </w:p>
    <w:p>
      <w:pPr>
        <w:pStyle w:val="ListBullet"/>
      </w:pPr>
      <w:r>
        <w:t>No control becomes ready from a passing software check alone.</w:t>
      </w:r>
    </w:p>
    <w:p>
      <w:pPr>
        <w:pStyle w:val="ListBullet"/>
      </w:pPr>
      <w:r>
        <w:t>One person owns each current action; handoffs include a deadline and note.</w:t>
      </w:r>
    </w:p>
    <w:p>
      <w:pPr>
        <w:pStyle w:val="ListBullet"/>
      </w:pPr>
      <w:r>
        <w:t>Corrections create attributed history. Staff do not edit records outside controlled workflows.</w:t>
      </w:r>
    </w:p>
    <w:p>
      <w:pPr>
        <w:pStyle w:val="ListBullet"/>
      </w:pPr>
      <w:r>
        <w:t>Real provider activity begins only after sandbox evidence, approved policy, and production authorization.</w:t>
      </w:r>
    </w:p>
    <w:p>
      <w:pPr>
        <w:pStyle w:val="ListBullet"/>
      </w:pPr>
      <w:r>
        <w:t>A carrier label remains active until its refund is confirmed. Staff never retry an uncertain label purchase or refund request.</w:t>
      </w:r>
    </w:p>
    <w:p>
      <w:pPr>
        <w:pStyle w:val="ListBullet"/>
      </w:pPr>
      <w:r>
        <w:t>An operational exception is opened as a case when routine workflow cannot safely resolve it.</w:t>
      </w:r>
    </w:p>
    <w:p>
      <w:pPr>
        <w:pStyle w:val="Heading1"/>
      </w:pPr>
      <w:r>
        <w:t>Authority and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1440"/>
            <w:shd w:fill="17365D"/>
            <w:vAlign w:val="center"/>
            <w:tcMar>
              <w:top w:w="100" w:type="dxa"/>
              <w:start w:w="110" w:type="dxa"/>
              <w:bottom w:w="100" w:type="dxa"/>
              <w:end w:w="110" w:type="dxa"/>
            </w:tcMar>
          </w:tcPr>
          <w:p>
            <w:pPr>
              <w:jc w:val="center"/>
            </w:pPr>
            <w:r>
              <w:rPr>
                <w:b/>
                <w:color w:val="FFFFFF"/>
                <w:sz w:val="18"/>
              </w:rPr>
              <w:t>Person</w:t>
            </w:r>
          </w:p>
        </w:tc>
        <w:tc>
          <w:tcPr>
            <w:tcW w:type="dxa" w:w="4320"/>
            <w:shd w:fill="17365D"/>
            <w:vAlign w:val="center"/>
            <w:tcMar>
              <w:top w:w="100" w:type="dxa"/>
              <w:start w:w="110" w:type="dxa"/>
              <w:bottom w:w="100" w:type="dxa"/>
              <w:end w:w="110" w:type="dxa"/>
            </w:tcMar>
          </w:tcPr>
          <w:p>
            <w:pPr>
              <w:jc w:val="left"/>
            </w:pPr>
            <w:r>
              <w:rPr>
                <w:b/>
                <w:color w:val="FFFFFF"/>
                <w:sz w:val="18"/>
              </w:rPr>
              <w:t>Operating responsibility</w:t>
            </w:r>
          </w:p>
        </w:tc>
        <w:tc>
          <w:tcPr>
            <w:tcW w:type="dxa" w:w="3960"/>
            <w:shd w:fill="17365D"/>
            <w:vAlign w:val="center"/>
            <w:tcMar>
              <w:top w:w="100" w:type="dxa"/>
              <w:start w:w="110" w:type="dxa"/>
              <w:bottom w:w="100" w:type="dxa"/>
              <w:end w:w="110" w:type="dxa"/>
            </w:tcMar>
          </w:tcPr>
          <w:p>
            <w:pPr>
              <w:jc w:val="left"/>
            </w:pPr>
            <w:r>
              <w:rPr>
                <w:b/>
                <w:color w:val="FFFFFF"/>
                <w:sz w:val="18"/>
              </w:rPr>
              <w:t>Reserved decisions</w:t>
            </w:r>
          </w:p>
        </w:tc>
      </w:tr>
      <w:tr>
        <w:trPr>
          <w:cantSplit/>
        </w:trPr>
        <w:tc>
          <w:tcPr>
            <w:tcW w:type="dxa" w:w="1440"/>
            <w:vAlign w:val="center"/>
            <w:tcMar>
              <w:top w:w="100" w:type="dxa"/>
              <w:start w:w="110" w:type="dxa"/>
              <w:bottom w:w="100" w:type="dxa"/>
              <w:end w:w="110" w:type="dxa"/>
            </w:tcMar>
          </w:tcPr>
          <w:p>
            <w:pPr>
              <w:jc w:val="center"/>
            </w:pPr>
            <w:r>
              <w:t>Mel</w:t>
            </w:r>
          </w:p>
        </w:tc>
        <w:tc>
          <w:tcPr>
            <w:tcW w:type="dxa" w:w="4320"/>
            <w:vAlign w:val="center"/>
            <w:tcMar>
              <w:top w:w="100" w:type="dxa"/>
              <w:start w:w="110" w:type="dxa"/>
              <w:bottom w:w="100" w:type="dxa"/>
              <w:end w:w="110" w:type="dxa"/>
            </w:tcMar>
          </w:tcPr>
          <w:p>
            <w:pPr>
              <w:jc w:val="left"/>
            </w:pPr>
            <w:r>
              <w:t>Brand, supply, product, quality, lot decisions</w:t>
            </w:r>
          </w:p>
        </w:tc>
        <w:tc>
          <w:tcPr>
            <w:tcW w:type="dxa" w:w="3960"/>
            <w:vAlign w:val="center"/>
            <w:tcMar>
              <w:top w:w="100" w:type="dxa"/>
              <w:start w:w="110" w:type="dxa"/>
              <w:bottom w:w="100" w:type="dxa"/>
              <w:end w:w="110" w:type="dxa"/>
            </w:tcMar>
          </w:tcPr>
          <w:p>
            <w:pPr>
              <w:jc w:val="left"/>
            </w:pPr>
            <w:r>
              <w:t>Exceptional release requires Sam countersignature when the approved trigger applies</w:t>
            </w:r>
          </w:p>
        </w:tc>
      </w:tr>
      <w:tr>
        <w:trPr>
          <w:cantSplit/>
        </w:trPr>
        <w:tc>
          <w:tcPr>
            <w:tcW w:type="dxa" w:w="1440"/>
            <w:shd w:fill="EFF4F8"/>
            <w:vAlign w:val="center"/>
            <w:tcMar>
              <w:top w:w="100" w:type="dxa"/>
              <w:start w:w="110" w:type="dxa"/>
              <w:bottom w:w="100" w:type="dxa"/>
              <w:end w:w="110" w:type="dxa"/>
            </w:tcMar>
          </w:tcPr>
          <w:p>
            <w:pPr>
              <w:jc w:val="center"/>
            </w:pPr>
            <w:r>
              <w:t>Sam</w:t>
            </w:r>
          </w:p>
        </w:tc>
        <w:tc>
          <w:tcPr>
            <w:tcW w:type="dxa" w:w="4320"/>
            <w:shd w:fill="EFF4F8"/>
            <w:vAlign w:val="center"/>
            <w:tcMar>
              <w:top w:w="100" w:type="dxa"/>
              <w:start w:w="110" w:type="dxa"/>
              <w:bottom w:w="100" w:type="dxa"/>
              <w:end w:w="110" w:type="dxa"/>
            </w:tcMar>
          </w:tcPr>
          <w:p>
            <w:pPr>
              <w:jc w:val="left"/>
            </w:pPr>
            <w:r>
              <w:t>Sales, terms, pricing, customer approval, fulfillment, banking, signatures</w:t>
            </w:r>
          </w:p>
        </w:tc>
        <w:tc>
          <w:tcPr>
            <w:tcW w:type="dxa" w:w="3960"/>
            <w:shd w:fill="EFF4F8"/>
            <w:vAlign w:val="center"/>
            <w:tcMar>
              <w:top w:w="100" w:type="dxa"/>
              <w:start w:w="110" w:type="dxa"/>
              <w:bottom w:w="100" w:type="dxa"/>
              <w:end w:w="110" w:type="dxa"/>
            </w:tcMar>
          </w:tcPr>
          <w:p>
            <w:pPr>
              <w:jc w:val="left"/>
            </w:pPr>
            <w:r>
              <w:t>Commercial acceptance, banking, signature, and launch decisions assigned by the members</w:t>
            </w:r>
          </w:p>
        </w:tc>
      </w:tr>
      <w:tr>
        <w:trPr>
          <w:cantSplit/>
        </w:trPr>
        <w:tc>
          <w:tcPr>
            <w:tcW w:type="dxa" w:w="1440"/>
            <w:vAlign w:val="center"/>
            <w:tcMar>
              <w:top w:w="100" w:type="dxa"/>
              <w:start w:w="110" w:type="dxa"/>
              <w:bottom w:w="100" w:type="dxa"/>
              <w:end w:w="110" w:type="dxa"/>
            </w:tcMar>
          </w:tcPr>
          <w:p>
            <w:pPr>
              <w:jc w:val="center"/>
            </w:pPr>
            <w:r>
              <w:t>Tima</w:t>
            </w:r>
          </w:p>
        </w:tc>
        <w:tc>
          <w:tcPr>
            <w:tcW w:type="dxa" w:w="4320"/>
            <w:vAlign w:val="center"/>
            <w:tcMar>
              <w:top w:w="100" w:type="dxa"/>
              <w:start w:w="110" w:type="dxa"/>
              <w:bottom w:w="100" w:type="dxa"/>
              <w:end w:w="110" w:type="dxa"/>
            </w:tcMar>
          </w:tcPr>
          <w:p>
            <w:pPr>
              <w:jc w:val="left"/>
            </w:pPr>
            <w:r>
              <w:t>Daily order queue, customer communication, verification preparation, supplier document follow up, contract first review</w:t>
            </w:r>
          </w:p>
        </w:tc>
        <w:tc>
          <w:tcPr>
            <w:tcW w:type="dxa" w:w="3960"/>
            <w:vAlign w:val="center"/>
            <w:tcMar>
              <w:top w:w="100" w:type="dxa"/>
              <w:start w:w="110" w:type="dxa"/>
              <w:bottom w:w="100" w:type="dxa"/>
              <w:end w:w="110" w:type="dxa"/>
            </w:tcMar>
          </w:tcPr>
          <w:p>
            <w:pPr>
              <w:jc w:val="left"/>
            </w:pPr>
            <w:r>
              <w:t>Prepares records and escalates decisions outside delegated authority</w:t>
            </w:r>
          </w:p>
        </w:tc>
      </w:tr>
      <w:tr>
        <w:trPr>
          <w:cantSplit/>
        </w:trPr>
        <w:tc>
          <w:tcPr>
            <w:tcW w:type="dxa" w:w="1440"/>
            <w:shd w:fill="EFF4F8"/>
            <w:vAlign w:val="center"/>
            <w:tcMar>
              <w:top w:w="100" w:type="dxa"/>
              <w:start w:w="110" w:type="dxa"/>
              <w:bottom w:w="100" w:type="dxa"/>
              <w:end w:w="110" w:type="dxa"/>
            </w:tcMar>
          </w:tcPr>
          <w:p>
            <w:pPr>
              <w:jc w:val="center"/>
            </w:pPr>
            <w:r>
              <w:t>Ammre</w:t>
            </w:r>
          </w:p>
        </w:tc>
        <w:tc>
          <w:tcPr>
            <w:tcW w:type="dxa" w:w="4320"/>
            <w:shd w:fill="EFF4F8"/>
            <w:vAlign w:val="center"/>
            <w:tcMar>
              <w:top w:w="100" w:type="dxa"/>
              <w:start w:w="110" w:type="dxa"/>
              <w:bottom w:w="100" w:type="dxa"/>
              <w:end w:w="110" w:type="dxa"/>
            </w:tcMar>
          </w:tcPr>
          <w:p>
            <w:pPr>
              <w:jc w:val="left"/>
            </w:pPr>
            <w:r>
              <w:t>Platform, infrastructure, controls, bookkeeping, payment and vendor analysis</w:t>
            </w:r>
          </w:p>
        </w:tc>
        <w:tc>
          <w:tcPr>
            <w:tcW w:type="dxa" w:w="3960"/>
            <w:shd w:fill="EFF4F8"/>
            <w:vAlign w:val="center"/>
            <w:tcMar>
              <w:top w:w="100" w:type="dxa"/>
              <w:start w:w="110" w:type="dxa"/>
              <w:bottom w:w="100" w:type="dxa"/>
              <w:end w:w="110" w:type="dxa"/>
            </w:tcMar>
          </w:tcPr>
          <w:p>
            <w:pPr>
              <w:jc w:val="left"/>
            </w:pPr>
            <w:r>
              <w:t>No signing, catalog publication, or lot release authority unless separately approved</w:t>
            </w:r>
          </w:p>
        </w:tc>
      </w:tr>
      <w:tr>
        <w:trPr>
          <w:cantSplit/>
        </w:trPr>
        <w:tc>
          <w:tcPr>
            <w:tcW w:type="dxa" w:w="1440"/>
            <w:vAlign w:val="center"/>
            <w:tcMar>
              <w:top w:w="100" w:type="dxa"/>
              <w:start w:w="110" w:type="dxa"/>
              <w:bottom w:w="100" w:type="dxa"/>
              <w:end w:w="110" w:type="dxa"/>
            </w:tcMar>
          </w:tcPr>
          <w:p>
            <w:pPr>
              <w:jc w:val="center"/>
            </w:pPr>
            <w:r>
              <w:t>Administrator</w:t>
            </w:r>
          </w:p>
        </w:tc>
        <w:tc>
          <w:tcPr>
            <w:tcW w:type="dxa" w:w="4320"/>
            <w:vAlign w:val="center"/>
            <w:tcMar>
              <w:top w:w="100" w:type="dxa"/>
              <w:start w:w="110" w:type="dxa"/>
              <w:bottom w:w="100" w:type="dxa"/>
              <w:end w:w="110" w:type="dxa"/>
            </w:tcMar>
          </w:tcPr>
          <w:p>
            <w:pPr>
              <w:jc w:val="left"/>
            </w:pPr>
            <w:r>
              <w:t>Account administration and controlled system decisions</w:t>
            </w:r>
          </w:p>
        </w:tc>
        <w:tc>
          <w:tcPr>
            <w:tcW w:type="dxa" w:w="3960"/>
            <w:vAlign w:val="center"/>
            <w:tcMar>
              <w:top w:w="100" w:type="dxa"/>
              <w:start w:w="110" w:type="dxa"/>
              <w:bottom w:w="100" w:type="dxa"/>
              <w:end w:w="110" w:type="dxa"/>
            </w:tcMar>
          </w:tcPr>
          <w:p>
            <w:pPr>
              <w:jc w:val="left"/>
            </w:pPr>
            <w:r>
              <w:t>Records readiness and case closure after reviewing evidence</w:t>
            </w:r>
          </w:p>
        </w:tc>
      </w:tr>
    </w:tbl>
    <w:p>
      <w:pPr>
        <w:spacing w:after="20"/>
      </w:pPr>
    </w:p>
    <w:p>
      <w:r>
        <w:t>The application currently has admin, quality, and operations roles. Before issue, the members must map every named person to the exact application permissions and approve the exceptional release trigger. Until then, role access is a technical safeguard and does not expand business authority.</w:t>
      </w:r>
    </w:p>
    <w:p>
      <w:pPr>
        <w:pStyle w:val="Heading1"/>
      </w:pPr>
      <w:r>
        <w:t>Systems of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2592"/>
            <w:shd w:fill="17365D"/>
            <w:vAlign w:val="center"/>
            <w:tcMar>
              <w:top w:w="100" w:type="dxa"/>
              <w:start w:w="110" w:type="dxa"/>
              <w:bottom w:w="100" w:type="dxa"/>
              <w:end w:w="110" w:type="dxa"/>
            </w:tcMar>
          </w:tcPr>
          <w:p>
            <w:pPr>
              <w:jc w:val="center"/>
            </w:pPr>
            <w:r>
              <w:rPr>
                <w:b/>
                <w:color w:val="FFFFFF"/>
                <w:sz w:val="18"/>
              </w:rPr>
              <w:t>Record</w:t>
            </w:r>
          </w:p>
        </w:tc>
        <w:tc>
          <w:tcPr>
            <w:tcW w:type="dxa" w:w="2448"/>
            <w:shd w:fill="17365D"/>
            <w:vAlign w:val="center"/>
            <w:tcMar>
              <w:top w:w="100" w:type="dxa"/>
              <w:start w:w="110" w:type="dxa"/>
              <w:bottom w:w="100" w:type="dxa"/>
              <w:end w:w="110" w:type="dxa"/>
            </w:tcMar>
          </w:tcPr>
          <w:p>
            <w:pPr>
              <w:jc w:val="left"/>
            </w:pPr>
            <w:r>
              <w:rPr>
                <w:b/>
                <w:color w:val="FFFFFF"/>
                <w:sz w:val="18"/>
              </w:rPr>
              <w:t>Authoritative location</w:t>
            </w:r>
          </w:p>
        </w:tc>
        <w:tc>
          <w:tcPr>
            <w:tcW w:type="dxa" w:w="4680"/>
            <w:shd w:fill="17365D"/>
            <w:vAlign w:val="center"/>
            <w:tcMar>
              <w:top w:w="100" w:type="dxa"/>
              <w:start w:w="110" w:type="dxa"/>
              <w:bottom w:w="100" w:type="dxa"/>
              <w:end w:w="110" w:type="dxa"/>
            </w:tcMar>
          </w:tcPr>
          <w:p>
            <w:pPr>
              <w:jc w:val="center"/>
            </w:pPr>
            <w:r>
              <w:rPr>
                <w:b/>
                <w:color w:val="FFFFFF"/>
                <w:sz w:val="18"/>
              </w:rPr>
              <w:t>Rule</w:t>
            </w:r>
          </w:p>
        </w:tc>
      </w:tr>
      <w:tr>
        <w:trPr>
          <w:cantSplit/>
        </w:trPr>
        <w:tc>
          <w:tcPr>
            <w:tcW w:type="dxa" w:w="2592"/>
            <w:vAlign w:val="center"/>
            <w:tcMar>
              <w:top w:w="100" w:type="dxa"/>
              <w:start w:w="110" w:type="dxa"/>
              <w:bottom w:w="100" w:type="dxa"/>
              <w:end w:w="110" w:type="dxa"/>
            </w:tcMar>
          </w:tcPr>
          <w:p>
            <w:pPr>
              <w:jc w:val="left"/>
            </w:pPr>
            <w:r>
              <w:t>Suppliers, lots, inventory, orders, payments, shipments, returns</w:t>
            </w:r>
          </w:p>
        </w:tc>
        <w:tc>
          <w:tcPr>
            <w:tcW w:type="dxa" w:w="2448"/>
            <w:vAlign w:val="center"/>
            <w:tcMar>
              <w:top w:w="100" w:type="dxa"/>
              <w:start w:w="110" w:type="dxa"/>
              <w:bottom w:w="100" w:type="dxa"/>
              <w:end w:w="110" w:type="dxa"/>
            </w:tcMar>
          </w:tcPr>
          <w:p>
            <w:pPr>
              <w:jc w:val="left"/>
            </w:pPr>
            <w:r>
              <w:t>NexPhase application</w:t>
            </w:r>
          </w:p>
        </w:tc>
        <w:tc>
          <w:tcPr>
            <w:tcW w:type="dxa" w:w="4680"/>
            <w:vAlign w:val="center"/>
            <w:tcMar>
              <w:top w:w="100" w:type="dxa"/>
              <w:start w:w="110" w:type="dxa"/>
              <w:bottom w:w="100" w:type="dxa"/>
              <w:end w:w="110" w:type="dxa"/>
            </w:tcMar>
          </w:tcPr>
          <w:p>
            <w:pPr>
              <w:jc w:val="left"/>
            </w:pPr>
            <w:r>
              <w:t>Use controlled forms and append only history. Do not maintain a duplicate tracker.</w:t>
            </w:r>
          </w:p>
        </w:tc>
      </w:tr>
      <w:tr>
        <w:trPr>
          <w:cantSplit/>
        </w:trPr>
        <w:tc>
          <w:tcPr>
            <w:tcW w:type="dxa" w:w="2592"/>
            <w:shd w:fill="EFF4F8"/>
            <w:vAlign w:val="center"/>
            <w:tcMar>
              <w:top w:w="100" w:type="dxa"/>
              <w:start w:w="110" w:type="dxa"/>
              <w:bottom w:w="100" w:type="dxa"/>
              <w:end w:w="110" w:type="dxa"/>
            </w:tcMar>
          </w:tcPr>
          <w:p>
            <w:pPr>
              <w:jc w:val="left"/>
            </w:pPr>
            <w:r>
              <w:t>Operating controls and cases</w:t>
            </w:r>
          </w:p>
        </w:tc>
        <w:tc>
          <w:tcPr>
            <w:tcW w:type="dxa" w:w="2448"/>
            <w:shd w:fill="EFF4F8"/>
            <w:vAlign w:val="center"/>
            <w:tcMar>
              <w:top w:w="100" w:type="dxa"/>
              <w:start w:w="110" w:type="dxa"/>
              <w:bottom w:w="100" w:type="dxa"/>
              <w:end w:w="110" w:type="dxa"/>
            </w:tcMar>
          </w:tcPr>
          <w:p>
            <w:pPr>
              <w:jc w:val="left"/>
            </w:pPr>
            <w:r>
              <w:t>NexPhase application</w:t>
            </w:r>
          </w:p>
        </w:tc>
        <w:tc>
          <w:tcPr>
            <w:tcW w:type="dxa" w:w="4680"/>
            <w:shd w:fill="EFF4F8"/>
            <w:vAlign w:val="center"/>
            <w:tcMar>
              <w:top w:w="100" w:type="dxa"/>
              <w:start w:w="110" w:type="dxa"/>
              <w:bottom w:w="100" w:type="dxa"/>
              <w:end w:w="110" w:type="dxa"/>
            </w:tcMar>
          </w:tcPr>
          <w:p>
            <w:pPr>
              <w:jc w:val="left"/>
            </w:pPr>
            <w:r>
              <w:t>Assign one owner, date the next action, link evidence, and preserve history.</w:t>
            </w:r>
          </w:p>
        </w:tc>
      </w:tr>
      <w:tr>
        <w:trPr>
          <w:cantSplit/>
        </w:trPr>
        <w:tc>
          <w:tcPr>
            <w:tcW w:type="dxa" w:w="2592"/>
            <w:vAlign w:val="center"/>
            <w:tcMar>
              <w:top w:w="100" w:type="dxa"/>
              <w:start w:w="110" w:type="dxa"/>
              <w:bottom w:w="100" w:type="dxa"/>
              <w:end w:w="110" w:type="dxa"/>
            </w:tcMar>
          </w:tcPr>
          <w:p>
            <w:pPr>
              <w:jc w:val="left"/>
            </w:pPr>
            <w:r>
              <w:t>Signed agreements, source evidence, issued SOPs, training</w:t>
            </w:r>
          </w:p>
        </w:tc>
        <w:tc>
          <w:tcPr>
            <w:tcW w:type="dxa" w:w="2448"/>
            <w:vAlign w:val="center"/>
            <w:tcMar>
              <w:top w:w="100" w:type="dxa"/>
              <w:start w:w="110" w:type="dxa"/>
              <w:bottom w:w="100" w:type="dxa"/>
              <w:end w:w="110" w:type="dxa"/>
            </w:tcMar>
          </w:tcPr>
          <w:p>
            <w:pPr>
              <w:jc w:val="left"/>
            </w:pPr>
            <w:r>
              <w:t>Approved Shared Drive</w:t>
            </w:r>
          </w:p>
        </w:tc>
        <w:tc>
          <w:tcPr>
            <w:tcW w:type="dxa" w:w="4680"/>
            <w:vAlign w:val="center"/>
            <w:tcMar>
              <w:top w:w="100" w:type="dxa"/>
              <w:start w:w="110" w:type="dxa"/>
              <w:bottom w:w="100" w:type="dxa"/>
              <w:end w:w="110" w:type="dxa"/>
            </w:tcMar>
          </w:tcPr>
          <w:p>
            <w:pPr>
              <w:jc w:val="left"/>
            </w:pPr>
            <w:r>
              <w:t>Restrict by role. Link from the application where a record requires evidence.</w:t>
            </w:r>
          </w:p>
        </w:tc>
      </w:tr>
      <w:tr>
        <w:trPr>
          <w:cantSplit/>
        </w:trPr>
        <w:tc>
          <w:tcPr>
            <w:tcW w:type="dxa" w:w="2592"/>
            <w:shd w:fill="EFF4F8"/>
            <w:vAlign w:val="center"/>
            <w:tcMar>
              <w:top w:w="100" w:type="dxa"/>
              <w:start w:w="110" w:type="dxa"/>
              <w:bottom w:w="100" w:type="dxa"/>
              <w:end w:w="110" w:type="dxa"/>
            </w:tcMar>
          </w:tcPr>
          <w:p>
            <w:pPr>
              <w:jc w:val="left"/>
            </w:pPr>
            <w:r>
              <w:t>Setup and project actions</w:t>
            </w:r>
          </w:p>
        </w:tc>
        <w:tc>
          <w:tcPr>
            <w:tcW w:type="dxa" w:w="2448"/>
            <w:shd w:fill="EFF4F8"/>
            <w:vAlign w:val="center"/>
            <w:tcMar>
              <w:top w:w="100" w:type="dxa"/>
              <w:start w:w="110" w:type="dxa"/>
              <w:bottom w:w="100" w:type="dxa"/>
              <w:end w:w="110" w:type="dxa"/>
            </w:tcMar>
          </w:tcPr>
          <w:p>
            <w:pPr>
              <w:jc w:val="left"/>
            </w:pPr>
            <w:r>
              <w:t>Operations tracker</w:t>
            </w:r>
          </w:p>
        </w:tc>
        <w:tc>
          <w:tcPr>
            <w:tcW w:type="dxa" w:w="4680"/>
            <w:shd w:fill="EFF4F8"/>
            <w:vAlign w:val="center"/>
            <w:tcMar>
              <w:top w:w="100" w:type="dxa"/>
              <w:start w:w="110" w:type="dxa"/>
              <w:bottom w:w="100" w:type="dxa"/>
              <w:end w:w="110" w:type="dxa"/>
            </w:tcMar>
          </w:tcPr>
          <w:p>
            <w:pPr>
              <w:jc w:val="left"/>
            </w:pPr>
            <w:r>
              <w:t>Store tasks and canonical links only. Do not copy live quantities or status.</w:t>
            </w:r>
          </w:p>
        </w:tc>
      </w:tr>
      <w:tr>
        <w:trPr>
          <w:cantSplit/>
        </w:trPr>
        <w:tc>
          <w:tcPr>
            <w:tcW w:type="dxa" w:w="2592"/>
            <w:vAlign w:val="center"/>
            <w:tcMar>
              <w:top w:w="100" w:type="dxa"/>
              <w:start w:w="110" w:type="dxa"/>
              <w:bottom w:w="100" w:type="dxa"/>
              <w:end w:w="110" w:type="dxa"/>
            </w:tcMar>
          </w:tcPr>
          <w:p>
            <w:pPr>
              <w:jc w:val="center"/>
            </w:pPr>
            <w:r>
              <w:t>Credentials</w:t>
            </w:r>
          </w:p>
        </w:tc>
        <w:tc>
          <w:tcPr>
            <w:tcW w:type="dxa" w:w="2448"/>
            <w:vAlign w:val="center"/>
            <w:tcMar>
              <w:top w:w="100" w:type="dxa"/>
              <w:start w:w="110" w:type="dxa"/>
              <w:bottom w:w="100" w:type="dxa"/>
              <w:end w:w="110" w:type="dxa"/>
            </w:tcMar>
          </w:tcPr>
          <w:p>
            <w:pPr>
              <w:jc w:val="left"/>
            </w:pPr>
            <w:r>
              <w:t>Approved secret and deployment systems</w:t>
            </w:r>
          </w:p>
        </w:tc>
        <w:tc>
          <w:tcPr>
            <w:tcW w:type="dxa" w:w="4680"/>
            <w:vAlign w:val="center"/>
            <w:tcMar>
              <w:top w:w="100" w:type="dxa"/>
              <w:start w:w="110" w:type="dxa"/>
              <w:bottom w:w="100" w:type="dxa"/>
              <w:end w:w="110" w:type="dxa"/>
            </w:tcMar>
          </w:tcPr>
          <w:p>
            <w:pPr>
              <w:jc w:val="left"/>
            </w:pPr>
            <w:r>
              <w:t>Never place secrets in Drive notes, manuals, or application comments.</w:t>
            </w:r>
          </w:p>
        </w:tc>
      </w:tr>
    </w:tbl>
    <w:p>
      <w:pPr>
        <w:spacing w:after="20"/>
      </w:pPr>
    </w:p>
    <w:p>
      <w:pPr>
        <w:pStyle w:val="Heading1"/>
      </w:pPr>
      <w:r>
        <w:t>Daily operating rhythm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792"/>
            <w:shd w:fill="17365D"/>
            <w:vAlign w:val="center"/>
            <w:tcMar>
              <w:top w:w="100" w:type="dxa"/>
              <w:start w:w="110" w:type="dxa"/>
              <w:bottom w:w="100" w:type="dxa"/>
              <w:end w:w="110" w:type="dxa"/>
            </w:tcMar>
          </w:tcPr>
          <w:p>
            <w:pPr>
              <w:jc w:val="center"/>
            </w:pPr>
            <w:r>
              <w:rPr>
                <w:b/>
                <w:color w:val="FFFFFF"/>
                <w:sz w:val="18"/>
              </w:rPr>
              <w:t>Step</w:t>
            </w:r>
          </w:p>
        </w:tc>
        <w:tc>
          <w:tcPr>
            <w:tcW w:type="dxa" w:w="5256"/>
            <w:shd w:fill="17365D"/>
            <w:vAlign w:val="center"/>
            <w:tcMar>
              <w:top w:w="100" w:type="dxa"/>
              <w:start w:w="110" w:type="dxa"/>
              <w:bottom w:w="100" w:type="dxa"/>
              <w:end w:w="110" w:type="dxa"/>
            </w:tcMar>
          </w:tcPr>
          <w:p>
            <w:pPr>
              <w:jc w:val="center"/>
            </w:pPr>
            <w:r>
              <w:rPr>
                <w:b/>
                <w:color w:val="FFFFFF"/>
                <w:sz w:val="18"/>
              </w:rPr>
              <w:t>Action</w:t>
            </w:r>
          </w:p>
        </w:tc>
        <w:tc>
          <w:tcPr>
            <w:tcW w:type="dxa" w:w="3672"/>
            <w:shd w:fill="17365D"/>
            <w:vAlign w:val="center"/>
            <w:tcMar>
              <w:top w:w="100" w:type="dxa"/>
              <w:start w:w="110" w:type="dxa"/>
              <w:bottom w:w="100" w:type="dxa"/>
              <w:end w:w="110" w:type="dxa"/>
            </w:tcMar>
          </w:tcPr>
          <w:p>
            <w:pPr>
              <w:jc w:val="center"/>
            </w:pPr>
            <w:r>
              <w:rPr>
                <w:b/>
                <w:color w:val="FFFFFF"/>
                <w:sz w:val="18"/>
              </w:rPr>
              <w:t>Expected record</w:t>
            </w:r>
          </w:p>
        </w:tc>
      </w:tr>
      <w:tr>
        <w:trPr>
          <w:cantSplit/>
        </w:trPr>
        <w:tc>
          <w:tcPr>
            <w:tcW w:type="dxa" w:w="792"/>
            <w:vAlign w:val="center"/>
            <w:tcMar>
              <w:top w:w="100" w:type="dxa"/>
              <w:start w:w="110" w:type="dxa"/>
              <w:bottom w:w="100" w:type="dxa"/>
              <w:end w:w="110" w:type="dxa"/>
            </w:tcMar>
          </w:tcPr>
          <w:p>
            <w:pPr>
              <w:jc w:val="center"/>
            </w:pPr>
            <w:r>
              <w:t>1</w:t>
            </w:r>
          </w:p>
        </w:tc>
        <w:tc>
          <w:tcPr>
            <w:tcW w:type="dxa" w:w="5256"/>
            <w:vAlign w:val="center"/>
            <w:tcMar>
              <w:top w:w="100" w:type="dxa"/>
              <w:start w:w="110" w:type="dxa"/>
              <w:bottom w:w="100" w:type="dxa"/>
              <w:end w:w="110" w:type="dxa"/>
            </w:tcMar>
          </w:tcPr>
          <w:p>
            <w:pPr>
              <w:jc w:val="left"/>
            </w:pPr>
            <w:r>
              <w:t>Open Today’s Operations and review urgent counts.</w:t>
            </w:r>
          </w:p>
        </w:tc>
        <w:tc>
          <w:tcPr>
            <w:tcW w:type="dxa" w:w="3672"/>
            <w:vAlign w:val="center"/>
            <w:tcMar>
              <w:top w:w="100" w:type="dxa"/>
              <w:start w:w="110" w:type="dxa"/>
              <w:bottom w:w="100" w:type="dxa"/>
              <w:end w:w="110" w:type="dxa"/>
            </w:tcMar>
          </w:tcPr>
          <w:p>
            <w:pPr>
              <w:jc w:val="left"/>
            </w:pPr>
            <w:r>
              <w:t>Prioritized work list</w:t>
            </w:r>
          </w:p>
        </w:tc>
      </w:tr>
      <w:tr>
        <w:trPr>
          <w:cantSplit/>
        </w:trPr>
        <w:tc>
          <w:tcPr>
            <w:tcW w:type="dxa" w:w="792"/>
            <w:shd w:fill="EFF4F8"/>
            <w:vAlign w:val="center"/>
            <w:tcMar>
              <w:top w:w="100" w:type="dxa"/>
              <w:start w:w="110" w:type="dxa"/>
              <w:bottom w:w="100" w:type="dxa"/>
              <w:end w:w="110" w:type="dxa"/>
            </w:tcMar>
          </w:tcPr>
          <w:p>
            <w:pPr>
              <w:jc w:val="center"/>
            </w:pPr>
            <w:r>
              <w:t>2</w:t>
            </w:r>
          </w:p>
        </w:tc>
        <w:tc>
          <w:tcPr>
            <w:tcW w:type="dxa" w:w="5256"/>
            <w:shd w:fill="EFF4F8"/>
            <w:vAlign w:val="center"/>
            <w:tcMar>
              <w:top w:w="100" w:type="dxa"/>
              <w:start w:w="110" w:type="dxa"/>
              <w:bottom w:w="100" w:type="dxa"/>
              <w:end w:w="110" w:type="dxa"/>
            </w:tcMar>
          </w:tcPr>
          <w:p>
            <w:pPr>
              <w:jc w:val="left"/>
            </w:pPr>
            <w:r>
              <w:t>Open Orders assigned to me, overdue service actions, and unassigned active orders.</w:t>
            </w:r>
          </w:p>
        </w:tc>
        <w:tc>
          <w:tcPr>
            <w:tcW w:type="dxa" w:w="3672"/>
            <w:shd w:fill="EFF4F8"/>
            <w:vAlign w:val="center"/>
            <w:tcMar>
              <w:top w:w="100" w:type="dxa"/>
              <w:start w:w="110" w:type="dxa"/>
              <w:bottom w:w="100" w:type="dxa"/>
              <w:end w:w="110" w:type="dxa"/>
            </w:tcMar>
          </w:tcPr>
          <w:p>
            <w:pPr>
              <w:jc w:val="left"/>
            </w:pPr>
            <w:r>
              <w:t>Every actionable order has one owner and future due time</w:t>
            </w:r>
          </w:p>
        </w:tc>
      </w:tr>
      <w:tr>
        <w:trPr>
          <w:cantSplit/>
        </w:trPr>
        <w:tc>
          <w:tcPr>
            <w:tcW w:type="dxa" w:w="792"/>
            <w:vAlign w:val="center"/>
            <w:tcMar>
              <w:top w:w="100" w:type="dxa"/>
              <w:start w:w="110" w:type="dxa"/>
              <w:bottom w:w="100" w:type="dxa"/>
              <w:end w:w="110" w:type="dxa"/>
            </w:tcMar>
          </w:tcPr>
          <w:p>
            <w:pPr>
              <w:jc w:val="center"/>
            </w:pPr>
            <w:r>
              <w:t>3</w:t>
            </w:r>
          </w:p>
        </w:tc>
        <w:tc>
          <w:tcPr>
            <w:tcW w:type="dxa" w:w="5256"/>
            <w:vAlign w:val="center"/>
            <w:tcMar>
              <w:top w:w="100" w:type="dxa"/>
              <w:start w:w="110" w:type="dxa"/>
              <w:bottom w:w="100" w:type="dxa"/>
              <w:end w:w="110" w:type="dxa"/>
            </w:tcMar>
          </w:tcPr>
          <w:p>
            <w:pPr>
              <w:jc w:val="left"/>
            </w:pPr>
            <w:r>
              <w:t>Review operational cases assigned to me, critical cases, and overdue cases.</w:t>
            </w:r>
          </w:p>
        </w:tc>
        <w:tc>
          <w:tcPr>
            <w:tcW w:type="dxa" w:w="3672"/>
            <w:vAlign w:val="center"/>
            <w:tcMar>
              <w:top w:w="100" w:type="dxa"/>
              <w:start w:w="110" w:type="dxa"/>
              <w:bottom w:w="100" w:type="dxa"/>
              <w:end w:w="110" w:type="dxa"/>
            </w:tcMar>
          </w:tcPr>
          <w:p>
            <w:pPr>
              <w:jc w:val="left"/>
            </w:pPr>
            <w:r>
              <w:t>Containment and next actions are current</w:t>
            </w:r>
          </w:p>
        </w:tc>
      </w:tr>
      <w:tr>
        <w:trPr>
          <w:cantSplit/>
        </w:trPr>
        <w:tc>
          <w:tcPr>
            <w:tcW w:type="dxa" w:w="792"/>
            <w:shd w:fill="EFF4F8"/>
            <w:vAlign w:val="center"/>
            <w:tcMar>
              <w:top w:w="100" w:type="dxa"/>
              <w:start w:w="110" w:type="dxa"/>
              <w:bottom w:w="100" w:type="dxa"/>
              <w:end w:w="110" w:type="dxa"/>
            </w:tcMar>
          </w:tcPr>
          <w:p>
            <w:pPr>
              <w:jc w:val="center"/>
            </w:pPr>
            <w:r>
              <w:t>4</w:t>
            </w:r>
          </w:p>
        </w:tc>
        <w:tc>
          <w:tcPr>
            <w:tcW w:type="dxa" w:w="5256"/>
            <w:shd w:fill="EFF4F8"/>
            <w:vAlign w:val="center"/>
            <w:tcMar>
              <w:top w:w="100" w:type="dxa"/>
              <w:start w:w="110" w:type="dxa"/>
              <w:bottom w:w="100" w:type="dxa"/>
              <w:end w:w="110" w:type="dxa"/>
            </w:tcMar>
          </w:tcPr>
          <w:p>
            <w:pPr>
              <w:jc w:val="left"/>
            </w:pPr>
            <w:r>
              <w:t>Review lots in quarantine and on hold; perform only role-authorized actions.</w:t>
            </w:r>
          </w:p>
        </w:tc>
        <w:tc>
          <w:tcPr>
            <w:tcW w:type="dxa" w:w="3672"/>
            <w:shd w:fill="EFF4F8"/>
            <w:vAlign w:val="center"/>
            <w:tcMar>
              <w:top w:w="100" w:type="dxa"/>
              <w:start w:w="110" w:type="dxa"/>
              <w:bottom w:w="100" w:type="dxa"/>
              <w:end w:w="110" w:type="dxa"/>
            </w:tcMar>
          </w:tcPr>
          <w:p>
            <w:pPr>
              <w:jc w:val="left"/>
            </w:pPr>
            <w:r>
              <w:t>Lot status and inventory ledger agree</w:t>
            </w:r>
          </w:p>
        </w:tc>
      </w:tr>
      <w:tr>
        <w:trPr>
          <w:cantSplit/>
        </w:trPr>
        <w:tc>
          <w:tcPr>
            <w:tcW w:type="dxa" w:w="792"/>
            <w:vAlign w:val="center"/>
            <w:tcMar>
              <w:top w:w="100" w:type="dxa"/>
              <w:start w:w="110" w:type="dxa"/>
              <w:bottom w:w="100" w:type="dxa"/>
              <w:end w:w="110" w:type="dxa"/>
            </w:tcMar>
          </w:tcPr>
          <w:p>
            <w:pPr>
              <w:jc w:val="center"/>
            </w:pPr>
            <w:r>
              <w:t>5</w:t>
            </w:r>
          </w:p>
        </w:tc>
        <w:tc>
          <w:tcPr>
            <w:tcW w:type="dxa" w:w="5256"/>
            <w:vAlign w:val="center"/>
            <w:tcMar>
              <w:top w:w="100" w:type="dxa"/>
              <w:start w:w="110" w:type="dxa"/>
              <w:bottom w:w="100" w:type="dxa"/>
              <w:end w:w="110" w:type="dxa"/>
            </w:tcMar>
          </w:tcPr>
          <w:p>
            <w:pPr>
              <w:jc w:val="left"/>
            </w:pPr>
            <w:r>
              <w:t>Review payment, refund, notification, and procurement queues assigned to the role.</w:t>
            </w:r>
          </w:p>
        </w:tc>
        <w:tc>
          <w:tcPr>
            <w:tcW w:type="dxa" w:w="3672"/>
            <w:vAlign w:val="center"/>
            <w:tcMar>
              <w:top w:w="100" w:type="dxa"/>
              <w:start w:w="110" w:type="dxa"/>
              <w:bottom w:w="100" w:type="dxa"/>
              <w:end w:w="110" w:type="dxa"/>
            </w:tcMar>
          </w:tcPr>
          <w:p>
            <w:pPr>
              <w:jc w:val="left"/>
            </w:pPr>
            <w:r>
              <w:t>Exceptions are assigned or opened as cases</w:t>
            </w:r>
          </w:p>
        </w:tc>
      </w:tr>
      <w:tr>
        <w:trPr>
          <w:cantSplit/>
        </w:trPr>
        <w:tc>
          <w:tcPr>
            <w:tcW w:type="dxa" w:w="792"/>
            <w:shd w:fill="EFF4F8"/>
            <w:vAlign w:val="center"/>
            <w:tcMar>
              <w:top w:w="100" w:type="dxa"/>
              <w:start w:w="110" w:type="dxa"/>
              <w:bottom w:w="100" w:type="dxa"/>
              <w:end w:w="110" w:type="dxa"/>
            </w:tcMar>
          </w:tcPr>
          <w:p>
            <w:pPr>
              <w:jc w:val="center"/>
            </w:pPr>
            <w:r>
              <w:t>6</w:t>
            </w:r>
          </w:p>
        </w:tc>
        <w:tc>
          <w:tcPr>
            <w:tcW w:type="dxa" w:w="5256"/>
            <w:shd w:fill="EFF4F8"/>
            <w:vAlign w:val="center"/>
            <w:tcMar>
              <w:top w:w="100" w:type="dxa"/>
              <w:start w:w="110" w:type="dxa"/>
              <w:bottom w:w="100" w:type="dxa"/>
              <w:end w:w="110" w:type="dxa"/>
            </w:tcMar>
          </w:tcPr>
          <w:p>
            <w:pPr>
              <w:jc w:val="left"/>
            </w:pPr>
            <w:r>
              <w:t>Update assigned operating controls and link evidence when work is ready for review.</w:t>
            </w:r>
          </w:p>
        </w:tc>
        <w:tc>
          <w:tcPr>
            <w:tcW w:type="dxa" w:w="3672"/>
            <w:shd w:fill="EFF4F8"/>
            <w:vAlign w:val="center"/>
            <w:tcMar>
              <w:top w:w="100" w:type="dxa"/>
              <w:start w:w="110" w:type="dxa"/>
              <w:bottom w:w="100" w:type="dxa"/>
              <w:end w:w="110" w:type="dxa"/>
            </w:tcMar>
          </w:tcPr>
          <w:p>
            <w:pPr>
              <w:jc w:val="left"/>
            </w:pPr>
            <w:r>
              <w:t>No unsupported ready status</w:t>
            </w:r>
          </w:p>
        </w:tc>
      </w:tr>
      <w:tr>
        <w:trPr>
          <w:cantSplit/>
        </w:trPr>
        <w:tc>
          <w:tcPr>
            <w:tcW w:type="dxa" w:w="792"/>
            <w:vAlign w:val="center"/>
            <w:tcMar>
              <w:top w:w="100" w:type="dxa"/>
              <w:start w:w="110" w:type="dxa"/>
              <w:bottom w:w="100" w:type="dxa"/>
              <w:end w:w="110" w:type="dxa"/>
            </w:tcMar>
          </w:tcPr>
          <w:p>
            <w:pPr>
              <w:jc w:val="center"/>
            </w:pPr>
            <w:r>
              <w:t>7</w:t>
            </w:r>
          </w:p>
        </w:tc>
        <w:tc>
          <w:tcPr>
            <w:tcW w:type="dxa" w:w="5256"/>
            <w:vAlign w:val="center"/>
            <w:tcMar>
              <w:top w:w="100" w:type="dxa"/>
              <w:start w:w="110" w:type="dxa"/>
              <w:bottom w:w="100" w:type="dxa"/>
              <w:end w:w="110" w:type="dxa"/>
            </w:tcMar>
          </w:tcPr>
          <w:p>
            <w:pPr>
              <w:jc w:val="left"/>
            </w:pPr>
            <w:r>
              <w:t>Before sign out, hand off unfinished orders and cases with a date and clear note.</w:t>
            </w:r>
          </w:p>
        </w:tc>
        <w:tc>
          <w:tcPr>
            <w:tcW w:type="dxa" w:w="3672"/>
            <w:vAlign w:val="center"/>
            <w:tcMar>
              <w:top w:w="100" w:type="dxa"/>
              <w:start w:w="110" w:type="dxa"/>
              <w:bottom w:w="100" w:type="dxa"/>
              <w:end w:w="110" w:type="dxa"/>
            </w:tcMar>
          </w:tcPr>
          <w:p>
            <w:pPr>
              <w:jc w:val="left"/>
            </w:pPr>
            <w:r>
              <w:t>No hidden work or ownerless handoff</w:t>
            </w:r>
          </w:p>
        </w:tc>
      </w:tr>
    </w:tbl>
    <w:p>
      <w:pPr>
        <w:spacing w:after="20"/>
      </w:pPr>
    </w:p>
    <w:p>
      <w:pPr>
        <w:pStyle w:val="Heading1"/>
      </w:pPr>
      <w:r>
        <w:t>Weekly review</w:t>
      </w:r>
    </w:p>
    <w:p>
      <w:pPr>
        <w:pStyle w:val="ListBullet"/>
      </w:pPr>
      <w:r>
        <w:t>Review overdue orders, cases, operating controls, purchase orders, supplier reviews, retest dates, refunds, and failed notifications.</w:t>
      </w:r>
    </w:p>
    <w:p>
      <w:pPr>
        <w:pStyle w:val="ListBullet"/>
      </w:pPr>
      <w:r>
        <w:t>Review inventory movements against physical count evidence and investigate variances through an operational case.</w:t>
      </w:r>
    </w:p>
    <w:p>
      <w:pPr>
        <w:pStyle w:val="ListBullet"/>
      </w:pPr>
      <w:r>
        <w:t>Review active staff, role fit, one time passwords, and leavers. Record the access review as control evidence.</w:t>
      </w:r>
    </w:p>
    <w:p>
      <w:pPr>
        <w:pStyle w:val="ListBullet"/>
      </w:pPr>
      <w:r>
        <w:t>Review provider and shipping exceptions. Do not treat simulated results as live evidence.</w:t>
      </w:r>
    </w:p>
    <w:p>
      <w:pPr>
        <w:pStyle w:val="ListBullet"/>
      </w:pPr>
      <w:r>
        <w:t>Record decisions, owners, dates, and evidence links before ending the review.</w:t>
      </w:r>
    </w:p>
    <w:p>
      <w:pPr>
        <w:pStyle w:val="Heading1"/>
      </w:pPr>
      <w:r>
        <w:t>Operating controls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trPr>
        <w:tc>
          <w:tcPr>
            <w:tcW w:type="dxa" w:w="2160"/>
            <w:shd w:fill="17365D"/>
            <w:vAlign w:val="center"/>
            <w:tcMar>
              <w:top w:w="100" w:type="dxa"/>
              <w:start w:w="110" w:type="dxa"/>
              <w:bottom w:w="100" w:type="dxa"/>
              <w:end w:w="110" w:type="dxa"/>
            </w:tcMar>
          </w:tcPr>
          <w:p>
            <w:pPr>
              <w:jc w:val="center"/>
            </w:pPr>
            <w:r>
              <w:rPr>
                <w:b/>
                <w:color w:val="FFFFFF"/>
                <w:sz w:val="18"/>
              </w:rPr>
              <w:t>Status</w:t>
            </w:r>
          </w:p>
        </w:tc>
        <w:tc>
          <w:tcPr>
            <w:tcW w:type="dxa" w:w="7560"/>
            <w:shd w:fill="17365D"/>
            <w:vAlign w:val="center"/>
            <w:tcMar>
              <w:top w:w="100" w:type="dxa"/>
              <w:start w:w="110" w:type="dxa"/>
              <w:bottom w:w="100" w:type="dxa"/>
              <w:end w:w="110" w:type="dxa"/>
            </w:tcMar>
          </w:tcPr>
          <w:p>
            <w:pPr>
              <w:jc w:val="center"/>
            </w:pPr>
            <w:r>
              <w:rPr>
                <w:b/>
                <w:color w:val="FFFFFF"/>
                <w:sz w:val="18"/>
              </w:rPr>
              <w:t>Use</w:t>
            </w:r>
          </w:p>
        </w:tc>
      </w:tr>
      <w:tr>
        <w:trPr>
          <w:cantSplit/>
        </w:trPr>
        <w:tc>
          <w:tcPr>
            <w:tcW w:type="dxa" w:w="2160"/>
            <w:vAlign w:val="center"/>
            <w:tcMar>
              <w:top w:w="100" w:type="dxa"/>
              <w:start w:w="110" w:type="dxa"/>
              <w:bottom w:w="100" w:type="dxa"/>
              <w:end w:w="110" w:type="dxa"/>
            </w:tcMar>
          </w:tcPr>
          <w:p>
            <w:pPr>
              <w:jc w:val="center"/>
            </w:pPr>
            <w:r>
              <w:t>Not started</w:t>
            </w:r>
          </w:p>
        </w:tc>
        <w:tc>
          <w:tcPr>
            <w:tcW w:type="dxa" w:w="7560"/>
            <w:vAlign w:val="center"/>
            <w:tcMar>
              <w:top w:w="100" w:type="dxa"/>
              <w:start w:w="110" w:type="dxa"/>
              <w:bottom w:w="100" w:type="dxa"/>
              <w:end w:w="110" w:type="dxa"/>
            </w:tcMar>
          </w:tcPr>
          <w:p>
            <w:pPr>
              <w:jc w:val="left"/>
            </w:pPr>
            <w:r>
              <w:t>No work or evidence has been recorded.</w:t>
            </w:r>
          </w:p>
        </w:tc>
      </w:tr>
      <w:tr>
        <w:trPr>
          <w:cantSplit/>
        </w:trPr>
        <w:tc>
          <w:tcPr>
            <w:tcW w:type="dxa" w:w="2160"/>
            <w:shd w:fill="EFF4F8"/>
            <w:vAlign w:val="center"/>
            <w:tcMar>
              <w:top w:w="100" w:type="dxa"/>
              <w:start w:w="110" w:type="dxa"/>
              <w:bottom w:w="100" w:type="dxa"/>
              <w:end w:w="110" w:type="dxa"/>
            </w:tcMar>
          </w:tcPr>
          <w:p>
            <w:pPr>
              <w:jc w:val="center"/>
            </w:pPr>
            <w:r>
              <w:t>In progress</w:t>
            </w:r>
          </w:p>
        </w:tc>
        <w:tc>
          <w:tcPr>
            <w:tcW w:type="dxa" w:w="7560"/>
            <w:shd w:fill="EFF4F8"/>
            <w:vAlign w:val="center"/>
            <w:tcMar>
              <w:top w:w="100" w:type="dxa"/>
              <w:start w:w="110" w:type="dxa"/>
              <w:bottom w:w="100" w:type="dxa"/>
              <w:end w:w="110" w:type="dxa"/>
            </w:tcMar>
          </w:tcPr>
          <w:p>
            <w:pPr>
              <w:jc w:val="left"/>
            </w:pPr>
            <w:r>
              <w:t>An active owner is working toward a dated result.</w:t>
            </w:r>
          </w:p>
        </w:tc>
      </w:tr>
      <w:tr>
        <w:trPr>
          <w:cantSplit/>
        </w:trPr>
        <w:tc>
          <w:tcPr>
            <w:tcW w:type="dxa" w:w="2160"/>
            <w:vAlign w:val="center"/>
            <w:tcMar>
              <w:top w:w="100" w:type="dxa"/>
              <w:start w:w="110" w:type="dxa"/>
              <w:bottom w:w="100" w:type="dxa"/>
              <w:end w:w="110" w:type="dxa"/>
            </w:tcMar>
          </w:tcPr>
          <w:p>
            <w:pPr>
              <w:jc w:val="center"/>
            </w:pPr>
            <w:r>
              <w:t>Blocked</w:t>
            </w:r>
          </w:p>
        </w:tc>
        <w:tc>
          <w:tcPr>
            <w:tcW w:type="dxa" w:w="7560"/>
            <w:vAlign w:val="center"/>
            <w:tcMar>
              <w:top w:w="100" w:type="dxa"/>
              <w:start w:w="110" w:type="dxa"/>
              <w:bottom w:w="100" w:type="dxa"/>
              <w:end w:w="110" w:type="dxa"/>
            </w:tcMar>
          </w:tcPr>
          <w:p>
            <w:pPr>
              <w:jc w:val="left"/>
            </w:pPr>
            <w:r>
              <w:t>A note identifies the blocker and the owner keeps the due date current.</w:t>
            </w:r>
          </w:p>
        </w:tc>
      </w:tr>
      <w:tr>
        <w:trPr>
          <w:cantSplit/>
        </w:trPr>
        <w:tc>
          <w:tcPr>
            <w:tcW w:type="dxa" w:w="2160"/>
            <w:shd w:fill="EFF4F8"/>
            <w:vAlign w:val="center"/>
            <w:tcMar>
              <w:top w:w="100" w:type="dxa"/>
              <w:start w:w="110" w:type="dxa"/>
              <w:bottom w:w="100" w:type="dxa"/>
              <w:end w:w="110" w:type="dxa"/>
            </w:tcMar>
          </w:tcPr>
          <w:p>
            <w:pPr>
              <w:jc w:val="center"/>
            </w:pPr>
            <w:r>
              <w:t>Awaiting review</w:t>
            </w:r>
          </w:p>
        </w:tc>
        <w:tc>
          <w:tcPr>
            <w:tcW w:type="dxa" w:w="7560"/>
            <w:shd w:fill="EFF4F8"/>
            <w:vAlign w:val="center"/>
            <w:tcMar>
              <w:top w:w="100" w:type="dxa"/>
              <w:start w:w="110" w:type="dxa"/>
              <w:bottom w:w="100" w:type="dxa"/>
              <w:end w:w="110" w:type="dxa"/>
            </w:tcMar>
          </w:tcPr>
          <w:p>
            <w:pPr>
              <w:jc w:val="left"/>
            </w:pPr>
            <w:r>
              <w:t>The owner linked completion evidence for administrator review.</w:t>
            </w:r>
          </w:p>
        </w:tc>
      </w:tr>
      <w:tr>
        <w:trPr>
          <w:cantSplit/>
        </w:trPr>
        <w:tc>
          <w:tcPr>
            <w:tcW w:type="dxa" w:w="2160"/>
            <w:vAlign w:val="center"/>
            <w:tcMar>
              <w:top w:w="100" w:type="dxa"/>
              <w:start w:w="110" w:type="dxa"/>
              <w:bottom w:w="100" w:type="dxa"/>
              <w:end w:w="110" w:type="dxa"/>
            </w:tcMar>
          </w:tcPr>
          <w:p>
            <w:pPr>
              <w:jc w:val="center"/>
            </w:pPr>
            <w:r>
              <w:t>Ready</w:t>
            </w:r>
          </w:p>
        </w:tc>
        <w:tc>
          <w:tcPr>
            <w:tcW w:type="dxa" w:w="7560"/>
            <w:vAlign w:val="center"/>
            <w:tcMar>
              <w:top w:w="100" w:type="dxa"/>
              <w:start w:w="110" w:type="dxa"/>
              <w:bottom w:w="100" w:type="dxa"/>
              <w:end w:w="110" w:type="dxa"/>
            </w:tcMar>
          </w:tcPr>
          <w:p>
            <w:pPr>
              <w:jc w:val="left"/>
            </w:pPr>
            <w:r>
              <w:t>An administrator reviewed the owner, evidence, and applicable acceptance criteria.</w:t>
            </w:r>
          </w:p>
        </w:tc>
      </w:tr>
      <w:tr>
        <w:trPr>
          <w:cantSplit/>
        </w:trPr>
        <w:tc>
          <w:tcPr>
            <w:tcW w:type="dxa" w:w="2160"/>
            <w:shd w:fill="EFF4F8"/>
            <w:vAlign w:val="center"/>
            <w:tcMar>
              <w:top w:w="100" w:type="dxa"/>
              <w:start w:w="110" w:type="dxa"/>
              <w:bottom w:w="100" w:type="dxa"/>
              <w:end w:w="110" w:type="dxa"/>
            </w:tcMar>
          </w:tcPr>
          <w:p>
            <w:pPr>
              <w:jc w:val="center"/>
            </w:pPr>
            <w:r>
              <w:t>Not applicable</w:t>
            </w:r>
          </w:p>
        </w:tc>
        <w:tc>
          <w:tcPr>
            <w:tcW w:type="dxa" w:w="7560"/>
            <w:shd w:fill="EFF4F8"/>
            <w:vAlign w:val="center"/>
            <w:tcMar>
              <w:top w:w="100" w:type="dxa"/>
              <w:start w:w="110" w:type="dxa"/>
              <w:bottom w:w="100" w:type="dxa"/>
              <w:end w:w="110" w:type="dxa"/>
            </w:tcMar>
          </w:tcPr>
          <w:p>
            <w:pPr>
              <w:jc w:val="left"/>
            </w:pPr>
            <w:r>
              <w:t>An administrator recorded the waiver reason. This is not a shortcut around missing evidence.</w:t>
            </w:r>
          </w:p>
        </w:tc>
      </w:tr>
    </w:tbl>
    <w:p>
      <w:pPr>
        <w:spacing w:after="20"/>
      </w:pPr>
    </w:p>
    <w:p>
      <w:pPr>
        <w:pStyle w:val="Heading1"/>
      </w:pPr>
      <w:r>
        <w:t>Operational cases</w:t>
      </w:r>
    </w:p>
    <w:p>
      <w:r>
        <w:t>Open a case for a complaint, deviation, supplier issue, incident, corrective or preventive action, or recall. High and critical cases require containment before they progress. A recall requires the linked lot to be on hold or withdrawn. An administrator closes a case only after root cause, corrective action, evidence, effectiveness review, and closure summary are complete.</w:t>
      </w:r>
    </w:p>
    <w:p>
      <w:pPr>
        <w:pStyle w:val="Heading1"/>
      </w:pPr>
      <w:r>
        <w:t>Escalation levels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trPr>
        <w:tc>
          <w:tcPr>
            <w:tcW w:type="dxa" w:w="1800"/>
            <w:shd w:fill="17365D"/>
            <w:vAlign w:val="center"/>
            <w:tcMar>
              <w:top w:w="100" w:type="dxa"/>
              <w:start w:w="110" w:type="dxa"/>
              <w:bottom w:w="100" w:type="dxa"/>
              <w:end w:w="110" w:type="dxa"/>
            </w:tcMar>
          </w:tcPr>
          <w:p>
            <w:pPr>
              <w:jc w:val="center"/>
            </w:pPr>
            <w:r>
              <w:rPr>
                <w:b/>
                <w:color w:val="FFFFFF"/>
                <w:sz w:val="18"/>
              </w:rPr>
              <w:t>Severity</w:t>
            </w:r>
          </w:p>
        </w:tc>
        <w:tc>
          <w:tcPr>
            <w:tcW w:type="dxa" w:w="7920"/>
            <w:shd w:fill="17365D"/>
            <w:vAlign w:val="center"/>
            <w:tcMar>
              <w:top w:w="100" w:type="dxa"/>
              <w:start w:w="110" w:type="dxa"/>
              <w:bottom w:w="100" w:type="dxa"/>
              <w:end w:w="110" w:type="dxa"/>
            </w:tcMar>
          </w:tcPr>
          <w:p>
            <w:pPr>
              <w:jc w:val="center"/>
            </w:pPr>
            <w:r>
              <w:rPr>
                <w:b/>
                <w:color w:val="FFFFFF"/>
                <w:sz w:val="18"/>
              </w:rPr>
              <w:t>Response</w:t>
            </w:r>
          </w:p>
        </w:tc>
      </w:tr>
      <w:tr>
        <w:trPr>
          <w:cantSplit/>
        </w:trPr>
        <w:tc>
          <w:tcPr>
            <w:tcW w:type="dxa" w:w="1800"/>
            <w:vAlign w:val="center"/>
            <w:tcMar>
              <w:top w:w="100" w:type="dxa"/>
              <w:start w:w="110" w:type="dxa"/>
              <w:bottom w:w="100" w:type="dxa"/>
              <w:end w:w="110" w:type="dxa"/>
            </w:tcMar>
          </w:tcPr>
          <w:p>
            <w:pPr>
              <w:jc w:val="center"/>
            </w:pPr>
            <w:r>
              <w:t>Low</w:t>
            </w:r>
          </w:p>
        </w:tc>
        <w:tc>
          <w:tcPr>
            <w:tcW w:type="dxa" w:w="7920"/>
            <w:vAlign w:val="center"/>
            <w:tcMar>
              <w:top w:w="100" w:type="dxa"/>
              <w:start w:w="110" w:type="dxa"/>
              <w:bottom w:w="100" w:type="dxa"/>
              <w:end w:w="110" w:type="dxa"/>
            </w:tcMar>
          </w:tcPr>
          <w:p>
            <w:pPr>
              <w:jc w:val="left"/>
            </w:pPr>
            <w:r>
              <w:t>Owner records and resolves within normal queue management.</w:t>
            </w:r>
          </w:p>
        </w:tc>
      </w:tr>
      <w:tr>
        <w:trPr>
          <w:cantSplit/>
        </w:trPr>
        <w:tc>
          <w:tcPr>
            <w:tcW w:type="dxa" w:w="1800"/>
            <w:shd w:fill="EFF4F8"/>
            <w:vAlign w:val="center"/>
            <w:tcMar>
              <w:top w:w="100" w:type="dxa"/>
              <w:start w:w="110" w:type="dxa"/>
              <w:bottom w:w="100" w:type="dxa"/>
              <w:end w:w="110" w:type="dxa"/>
            </w:tcMar>
          </w:tcPr>
          <w:p>
            <w:pPr>
              <w:jc w:val="center"/>
            </w:pPr>
            <w:r>
              <w:t>Medium</w:t>
            </w:r>
          </w:p>
        </w:tc>
        <w:tc>
          <w:tcPr>
            <w:tcW w:type="dxa" w:w="7920"/>
            <w:shd w:fill="EFF4F8"/>
            <w:vAlign w:val="center"/>
            <w:tcMar>
              <w:top w:w="100" w:type="dxa"/>
              <w:start w:w="110" w:type="dxa"/>
              <w:bottom w:w="100" w:type="dxa"/>
              <w:end w:w="110" w:type="dxa"/>
            </w:tcMar>
          </w:tcPr>
          <w:p>
            <w:pPr>
              <w:jc w:val="left"/>
            </w:pPr>
            <w:r>
              <w:t>Owner sets a prompt due date and informs the responsible function.</w:t>
            </w:r>
          </w:p>
        </w:tc>
      </w:tr>
      <w:tr>
        <w:trPr>
          <w:cantSplit/>
        </w:trPr>
        <w:tc>
          <w:tcPr>
            <w:tcW w:type="dxa" w:w="1800"/>
            <w:vAlign w:val="center"/>
            <w:tcMar>
              <w:top w:w="100" w:type="dxa"/>
              <w:start w:w="110" w:type="dxa"/>
              <w:bottom w:w="100" w:type="dxa"/>
              <w:end w:w="110" w:type="dxa"/>
            </w:tcMar>
          </w:tcPr>
          <w:p>
            <w:pPr>
              <w:jc w:val="center"/>
            </w:pPr>
            <w:r>
              <w:t>High</w:t>
            </w:r>
          </w:p>
        </w:tc>
        <w:tc>
          <w:tcPr>
            <w:tcW w:type="dxa" w:w="7920"/>
            <w:vAlign w:val="center"/>
            <w:tcMar>
              <w:top w:w="100" w:type="dxa"/>
              <w:start w:w="110" w:type="dxa"/>
              <w:bottom w:w="100" w:type="dxa"/>
              <w:end w:w="110" w:type="dxa"/>
            </w:tcMar>
          </w:tcPr>
          <w:p>
            <w:pPr>
              <w:jc w:val="left"/>
            </w:pPr>
            <w:r>
              <w:t>Contain immediately, notify the responsible member, and review related lots or orders.</w:t>
            </w:r>
          </w:p>
        </w:tc>
      </w:tr>
      <w:tr>
        <w:trPr>
          <w:cantSplit/>
        </w:trPr>
        <w:tc>
          <w:tcPr>
            <w:tcW w:type="dxa" w:w="1800"/>
            <w:shd w:fill="EFF4F8"/>
            <w:vAlign w:val="center"/>
            <w:tcMar>
              <w:top w:w="100" w:type="dxa"/>
              <w:start w:w="110" w:type="dxa"/>
              <w:bottom w:w="100" w:type="dxa"/>
              <w:end w:w="110" w:type="dxa"/>
            </w:tcMar>
          </w:tcPr>
          <w:p>
            <w:pPr>
              <w:jc w:val="center"/>
            </w:pPr>
            <w:r>
              <w:t>Critical</w:t>
            </w:r>
          </w:p>
        </w:tc>
        <w:tc>
          <w:tcPr>
            <w:tcW w:type="dxa" w:w="7920"/>
            <w:shd w:fill="EFF4F8"/>
            <w:vAlign w:val="center"/>
            <w:tcMar>
              <w:top w:w="100" w:type="dxa"/>
              <w:start w:w="110" w:type="dxa"/>
              <w:bottom w:w="100" w:type="dxa"/>
              <w:end w:w="110" w:type="dxa"/>
            </w:tcMar>
          </w:tcPr>
          <w:p>
            <w:pPr>
              <w:jc w:val="left"/>
            </w:pPr>
            <w:r>
              <w:t>Stop affected activity, preserve evidence, notify authorized leadership immediately, and open an incident or recall case.</w:t>
            </w:r>
          </w:p>
        </w:tc>
      </w:tr>
    </w:tbl>
    <w:p>
      <w:pPr>
        <w:spacing w:after="20"/>
      </w:pPr>
    </w:p>
    <w:p>
      <w:pPr>
        <w:pStyle w:val="Heading1"/>
      </w:pPr>
      <w:r>
        <w:t>Operational measures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trPr>
        <w:tc>
          <w:tcPr>
            <w:tcW w:type="dxa" w:w="5040"/>
            <w:shd w:fill="17365D"/>
            <w:vAlign w:val="center"/>
            <w:tcMar>
              <w:top w:w="100" w:type="dxa"/>
              <w:start w:w="110" w:type="dxa"/>
              <w:bottom w:w="100" w:type="dxa"/>
              <w:end w:w="110" w:type="dxa"/>
            </w:tcMar>
          </w:tcPr>
          <w:p>
            <w:pPr>
              <w:jc w:val="center"/>
            </w:pPr>
            <w:r>
              <w:rPr>
                <w:b/>
                <w:color w:val="FFFFFF"/>
                <w:sz w:val="18"/>
              </w:rPr>
              <w:t>Measure</w:t>
            </w:r>
          </w:p>
        </w:tc>
        <w:tc>
          <w:tcPr>
            <w:tcW w:type="dxa" w:w="4680"/>
            <w:shd w:fill="17365D"/>
            <w:vAlign w:val="center"/>
            <w:tcMar>
              <w:top w:w="100" w:type="dxa"/>
              <w:start w:w="110" w:type="dxa"/>
              <w:bottom w:w="100" w:type="dxa"/>
              <w:end w:w="110" w:type="dxa"/>
            </w:tcMar>
          </w:tcPr>
          <w:p>
            <w:pPr>
              <w:jc w:val="center"/>
            </w:pPr>
            <w:r>
              <w:rPr>
                <w:b/>
                <w:color w:val="FFFFFF"/>
                <w:sz w:val="18"/>
              </w:rPr>
              <w:t>Review</w:t>
            </w:r>
          </w:p>
        </w:tc>
      </w:tr>
      <w:tr>
        <w:trPr>
          <w:cantSplit/>
        </w:trPr>
        <w:tc>
          <w:tcPr>
            <w:tcW w:type="dxa" w:w="5040"/>
            <w:vAlign w:val="center"/>
            <w:tcMar>
              <w:top w:w="100" w:type="dxa"/>
              <w:start w:w="110" w:type="dxa"/>
              <w:bottom w:w="100" w:type="dxa"/>
              <w:end w:w="110" w:type="dxa"/>
            </w:tcMar>
          </w:tcPr>
          <w:p>
            <w:pPr>
              <w:jc w:val="left"/>
            </w:pPr>
            <w:r>
              <w:t>Launch critical controls open and overdue</w:t>
            </w:r>
          </w:p>
        </w:tc>
        <w:tc>
          <w:tcPr>
            <w:tcW w:type="dxa" w:w="4680"/>
            <w:vAlign w:val="center"/>
            <w:tcMar>
              <w:top w:w="100" w:type="dxa"/>
              <w:start w:w="110" w:type="dxa"/>
              <w:bottom w:w="100" w:type="dxa"/>
              <w:end w:w="110" w:type="dxa"/>
            </w:tcMar>
          </w:tcPr>
          <w:p>
            <w:pPr>
              <w:jc w:val="left"/>
            </w:pPr>
            <w:r>
              <w:t>Daily before production acceptance; weekly thereafter</w:t>
            </w:r>
          </w:p>
        </w:tc>
      </w:tr>
      <w:tr>
        <w:trPr>
          <w:cantSplit/>
        </w:trPr>
        <w:tc>
          <w:tcPr>
            <w:tcW w:type="dxa" w:w="5040"/>
            <w:shd w:fill="EFF4F8"/>
            <w:vAlign w:val="center"/>
            <w:tcMar>
              <w:top w:w="100" w:type="dxa"/>
              <w:start w:w="110" w:type="dxa"/>
              <w:bottom w:w="100" w:type="dxa"/>
              <w:end w:w="110" w:type="dxa"/>
            </w:tcMar>
          </w:tcPr>
          <w:p>
            <w:pPr>
              <w:jc w:val="left"/>
            </w:pPr>
            <w:r>
              <w:t>Orders unassigned, overdue, awaiting payment, fulfilling, refund due</w:t>
            </w:r>
          </w:p>
        </w:tc>
        <w:tc>
          <w:tcPr>
            <w:tcW w:type="dxa" w:w="4680"/>
            <w:shd w:fill="EFF4F8"/>
            <w:vAlign w:val="center"/>
            <w:tcMar>
              <w:top w:w="100" w:type="dxa"/>
              <w:start w:w="110" w:type="dxa"/>
              <w:bottom w:w="100" w:type="dxa"/>
              <w:end w:w="110" w:type="dxa"/>
            </w:tcMar>
          </w:tcPr>
          <w:p>
            <w:pPr>
              <w:jc w:val="center"/>
            </w:pPr>
            <w:r>
              <w:t>Daily</w:t>
            </w:r>
          </w:p>
        </w:tc>
      </w:tr>
      <w:tr>
        <w:trPr>
          <w:cantSplit/>
        </w:trPr>
        <w:tc>
          <w:tcPr>
            <w:tcW w:type="dxa" w:w="5040"/>
            <w:vAlign w:val="center"/>
            <w:tcMar>
              <w:top w:w="100" w:type="dxa"/>
              <w:start w:w="110" w:type="dxa"/>
              <w:bottom w:w="100" w:type="dxa"/>
              <w:end w:w="110" w:type="dxa"/>
            </w:tcMar>
          </w:tcPr>
          <w:p>
            <w:pPr>
              <w:jc w:val="left"/>
            </w:pPr>
            <w:r>
              <w:t>Cases open, critical, overdue, and assigned to each owner</w:t>
            </w:r>
          </w:p>
        </w:tc>
        <w:tc>
          <w:tcPr>
            <w:tcW w:type="dxa" w:w="4680"/>
            <w:vAlign w:val="center"/>
            <w:tcMar>
              <w:top w:w="100" w:type="dxa"/>
              <w:start w:w="110" w:type="dxa"/>
              <w:bottom w:w="100" w:type="dxa"/>
              <w:end w:w="110" w:type="dxa"/>
            </w:tcMar>
          </w:tcPr>
          <w:p>
            <w:pPr>
              <w:jc w:val="left"/>
            </w:pPr>
            <w:r>
              <w:t>Daily and in weekly review</w:t>
            </w:r>
          </w:p>
        </w:tc>
      </w:tr>
      <w:tr>
        <w:trPr>
          <w:cantSplit/>
        </w:trPr>
        <w:tc>
          <w:tcPr>
            <w:tcW w:type="dxa" w:w="5040"/>
            <w:shd w:fill="EFF4F8"/>
            <w:vAlign w:val="center"/>
            <w:tcMar>
              <w:top w:w="100" w:type="dxa"/>
              <w:start w:w="110" w:type="dxa"/>
              <w:bottom w:w="100" w:type="dxa"/>
              <w:end w:w="110" w:type="dxa"/>
            </w:tcMar>
          </w:tcPr>
          <w:p>
            <w:pPr>
              <w:jc w:val="left"/>
            </w:pPr>
            <w:r>
              <w:t>Lots in quarantine, on hold, withdrawn, exhausted, or nearing retest</w:t>
            </w:r>
          </w:p>
        </w:tc>
        <w:tc>
          <w:tcPr>
            <w:tcW w:type="dxa" w:w="4680"/>
            <w:shd w:fill="EFF4F8"/>
            <w:vAlign w:val="center"/>
            <w:tcMar>
              <w:top w:w="100" w:type="dxa"/>
              <w:start w:w="110" w:type="dxa"/>
              <w:bottom w:w="100" w:type="dxa"/>
              <w:end w:w="110" w:type="dxa"/>
            </w:tcMar>
          </w:tcPr>
          <w:p>
            <w:pPr>
              <w:jc w:val="left"/>
            </w:pPr>
            <w:r>
              <w:t>Daily for active work; weekly trend</w:t>
            </w:r>
          </w:p>
        </w:tc>
      </w:tr>
      <w:tr>
        <w:trPr>
          <w:cantSplit/>
        </w:trPr>
        <w:tc>
          <w:tcPr>
            <w:tcW w:type="dxa" w:w="5040"/>
            <w:vAlign w:val="center"/>
            <w:tcMar>
              <w:top w:w="100" w:type="dxa"/>
              <w:start w:w="110" w:type="dxa"/>
              <w:bottom w:w="100" w:type="dxa"/>
              <w:end w:w="110" w:type="dxa"/>
            </w:tcMar>
          </w:tcPr>
          <w:p>
            <w:pPr>
              <w:jc w:val="left"/>
            </w:pPr>
            <w:r>
              <w:t>Inventory movement variances and physical count differences</w:t>
            </w:r>
          </w:p>
        </w:tc>
        <w:tc>
          <w:tcPr>
            <w:tcW w:type="dxa" w:w="4680"/>
            <w:vAlign w:val="center"/>
            <w:tcMar>
              <w:top w:w="100" w:type="dxa"/>
              <w:start w:w="110" w:type="dxa"/>
              <w:bottom w:w="100" w:type="dxa"/>
              <w:end w:w="110" w:type="dxa"/>
            </w:tcMar>
          </w:tcPr>
          <w:p>
            <w:pPr>
              <w:jc w:val="left"/>
            </w:pPr>
            <w:r>
              <w:t>At every count and monthly close</w:t>
            </w:r>
          </w:p>
        </w:tc>
      </w:tr>
      <w:tr>
        <w:trPr>
          <w:cantSplit/>
        </w:trPr>
        <w:tc>
          <w:tcPr>
            <w:tcW w:type="dxa" w:w="5040"/>
            <w:shd w:fill="EFF4F8"/>
            <w:vAlign w:val="center"/>
            <w:tcMar>
              <w:top w:w="100" w:type="dxa"/>
              <w:start w:w="110" w:type="dxa"/>
              <w:bottom w:w="100" w:type="dxa"/>
              <w:end w:w="110" w:type="dxa"/>
            </w:tcMar>
          </w:tcPr>
          <w:p>
            <w:pPr>
              <w:jc w:val="left"/>
            </w:pPr>
            <w:r>
              <w:t>Provider failures, failed notices, label voids, refund exceptions</w:t>
            </w:r>
          </w:p>
        </w:tc>
        <w:tc>
          <w:tcPr>
            <w:tcW w:type="dxa" w:w="4680"/>
            <w:shd w:fill="EFF4F8"/>
            <w:vAlign w:val="center"/>
            <w:tcMar>
              <w:top w:w="100" w:type="dxa"/>
              <w:start w:w="110" w:type="dxa"/>
              <w:bottom w:w="100" w:type="dxa"/>
              <w:end w:w="110" w:type="dxa"/>
            </w:tcMar>
          </w:tcPr>
          <w:p>
            <w:pPr>
              <w:jc w:val="center"/>
            </w:pPr>
            <w:r>
              <w:t>Daily and at close</w:t>
            </w:r>
          </w:p>
        </w:tc>
      </w:tr>
    </w:tbl>
    <w:p>
      <w:pPr>
        <w:spacing w:after="20"/>
      </w:pPr>
    </w:p>
    <w:p>
      <w:pPr>
        <w:pStyle w:val="Heading1"/>
      </w:pPr>
      <w:r>
        <w:t>Document control and training</w:t>
      </w:r>
    </w:p>
    <w:p>
      <w:pPr>
        <w:pStyle w:val="ListBullet"/>
      </w:pPr>
      <w:r>
        <w:t>The document owner proposes revisions after application or policy changes.</w:t>
      </w:r>
    </w:p>
    <w:p>
      <w:pPr>
        <w:pStyle w:val="ListBullet"/>
      </w:pPr>
      <w:r>
        <w:t>The approver compares the procedure to the verified interface and records approval, effective date, and next review.</w:t>
      </w:r>
    </w:p>
    <w:p>
      <w:pPr>
        <w:pStyle w:val="ListBullet"/>
      </w:pPr>
      <w:r>
        <w:t>Each operator completes a walkthrough using staging and records questions or corrections before issue.</w:t>
      </w:r>
    </w:p>
    <w:p>
      <w:pPr>
        <w:pStyle w:val="ListBullet"/>
      </w:pPr>
      <w:r>
        <w:t>The controlled copy is stored in the approved Shared Drive. Superseded copies remain identifiable and unavailable for routine use.</w:t>
      </w:r>
    </w:p>
    <w:p>
      <w:pPr>
        <w:pStyle w:val="ListBullet"/>
      </w:pPr>
      <w:r>
        <w:t>A material interface, authority, legal, safety, provider, or workflow change triggers immediate review.</w:t>
      </w:r>
    </w:p>
    <w:p>
      <w:pPr>
        <w:pStyle w:val="Heading1"/>
      </w:pPr>
      <w:r>
        <w:t>Approval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1958"/>
        <w:gridCol w:w="1958"/>
        <w:gridCol w:w="1958"/>
        <w:gridCol w:w="1958"/>
      </w:tblGrid>
      <w:tr>
        <w:trPr>
          <w:tblHeader w:val="true"/>
        </w:trPr>
        <w:tc>
          <w:tcPr>
            <w:tcW w:type="dxa" w:w="2088"/>
            <w:shd w:fill="17365D"/>
            <w:vAlign w:val="center"/>
            <w:tcMar>
              <w:top w:w="100" w:type="dxa"/>
              <w:start w:w="110" w:type="dxa"/>
              <w:bottom w:w="100" w:type="dxa"/>
              <w:end w:w="110" w:type="dxa"/>
            </w:tcMar>
          </w:tcPr>
          <w:p>
            <w:pPr>
              <w:jc w:val="center"/>
            </w:pPr>
            <w:r>
              <w:rPr>
                <w:b/>
                <w:color w:val="FFFFFF"/>
                <w:sz w:val="18"/>
              </w:rPr>
              <w:t>Role</w:t>
            </w:r>
          </w:p>
        </w:tc>
        <w:tc>
          <w:tcPr>
            <w:tcW w:type="dxa" w:w="1800"/>
            <w:shd w:fill="17365D"/>
            <w:vAlign w:val="center"/>
            <w:tcMar>
              <w:top w:w="100" w:type="dxa"/>
              <w:start w:w="110" w:type="dxa"/>
              <w:bottom w:w="100" w:type="dxa"/>
              <w:end w:w="110" w:type="dxa"/>
            </w:tcMar>
          </w:tcPr>
          <w:p>
            <w:pPr>
              <w:jc w:val="center"/>
            </w:pPr>
            <w:r>
              <w:rPr>
                <w:b/>
                <w:color w:val="FFFFFF"/>
                <w:sz w:val="18"/>
              </w:rPr>
              <w:t>Name</w:t>
            </w:r>
          </w:p>
        </w:tc>
        <w:tc>
          <w:tcPr>
            <w:tcW w:type="dxa" w:w="1656"/>
            <w:shd w:fill="17365D"/>
            <w:vAlign w:val="center"/>
            <w:tcMar>
              <w:top w:w="100" w:type="dxa"/>
              <w:start w:w="110" w:type="dxa"/>
              <w:bottom w:w="100" w:type="dxa"/>
              <w:end w:w="110" w:type="dxa"/>
            </w:tcMar>
          </w:tcPr>
          <w:p>
            <w:pPr>
              <w:jc w:val="center"/>
            </w:pPr>
            <w:r>
              <w:rPr>
                <w:b/>
                <w:color w:val="FFFFFF"/>
                <w:sz w:val="18"/>
              </w:rPr>
              <w:t>Decision</w:t>
            </w:r>
          </w:p>
        </w:tc>
        <w:tc>
          <w:tcPr>
            <w:tcW w:type="dxa" w:w="1440"/>
            <w:shd w:fill="17365D"/>
            <w:vAlign w:val="center"/>
            <w:tcMar>
              <w:top w:w="100" w:type="dxa"/>
              <w:start w:w="110" w:type="dxa"/>
              <w:bottom w:w="100" w:type="dxa"/>
              <w:end w:w="110" w:type="dxa"/>
            </w:tcMar>
          </w:tcPr>
          <w:p>
            <w:pPr>
              <w:jc w:val="center"/>
            </w:pPr>
            <w:r>
              <w:rPr>
                <w:b/>
                <w:color w:val="FFFFFF"/>
                <w:sz w:val="18"/>
              </w:rPr>
              <w:t>Date</w:t>
            </w:r>
          </w:p>
        </w:tc>
        <w:tc>
          <w:tcPr>
            <w:tcW w:type="dxa" w:w="2736"/>
            <w:shd w:fill="17365D"/>
            <w:vAlign w:val="center"/>
            <w:tcMar>
              <w:top w:w="100" w:type="dxa"/>
              <w:start w:w="110" w:type="dxa"/>
              <w:bottom w:w="100" w:type="dxa"/>
              <w:end w:w="110" w:type="dxa"/>
            </w:tcMar>
          </w:tcPr>
          <w:p>
            <w:pPr>
              <w:jc w:val="center"/>
            </w:pPr>
            <w:r>
              <w:rPr>
                <w:b/>
                <w:color w:val="FFFFFF"/>
                <w:sz w:val="18"/>
              </w:rPr>
              <w:t>Evidence</w:t>
            </w:r>
          </w:p>
        </w:tc>
      </w:tr>
      <w:tr>
        <w:trPr>
          <w:cantSplit/>
        </w:trPr>
        <w:tc>
          <w:tcPr>
            <w:tcW w:type="dxa" w:w="2088"/>
            <w:vAlign w:val="center"/>
            <w:tcMar>
              <w:top w:w="100" w:type="dxa"/>
              <w:start w:w="110" w:type="dxa"/>
              <w:bottom w:w="100" w:type="dxa"/>
              <w:end w:w="110" w:type="dxa"/>
            </w:tcMar>
          </w:tcPr>
          <w:p>
            <w:pPr>
              <w:jc w:val="center"/>
            </w:pPr>
            <w:r>
              <w:t>Document owner</w:t>
            </w:r>
          </w:p>
        </w:tc>
        <w:tc>
          <w:tcPr>
            <w:tcW w:type="dxa" w:w="1800"/>
            <w:vAlign w:val="center"/>
            <w:tcMar>
              <w:top w:w="100" w:type="dxa"/>
              <w:start w:w="110" w:type="dxa"/>
              <w:bottom w:w="100" w:type="dxa"/>
              <w:end w:w="110" w:type="dxa"/>
            </w:tcMar>
          </w:tcPr>
          <w:p>
            <w:pPr>
              <w:jc w:val="center"/>
            </w:pPr>
            <w:r/>
          </w:p>
        </w:tc>
        <w:tc>
          <w:tcPr>
            <w:tcW w:type="dxa" w:w="1656"/>
            <w:vAlign w:val="center"/>
            <w:tcMar>
              <w:top w:w="100" w:type="dxa"/>
              <w:start w:w="110" w:type="dxa"/>
              <w:bottom w:w="100" w:type="dxa"/>
              <w:end w:w="110" w:type="dxa"/>
            </w:tcMar>
          </w:tcPr>
          <w:p>
            <w:pPr>
              <w:jc w:val="center"/>
            </w:pPr>
            <w:r/>
          </w:p>
        </w:tc>
        <w:tc>
          <w:tcPr>
            <w:tcW w:type="dxa" w:w="1440"/>
            <w:vAlign w:val="center"/>
            <w:tcMar>
              <w:top w:w="100" w:type="dxa"/>
              <w:start w:w="110" w:type="dxa"/>
              <w:bottom w:w="100" w:type="dxa"/>
              <w:end w:w="110" w:type="dxa"/>
            </w:tcMar>
          </w:tcPr>
          <w:p>
            <w:pPr>
              <w:jc w:val="center"/>
            </w:pPr>
            <w:r/>
          </w:p>
        </w:tc>
        <w:tc>
          <w:tcPr>
            <w:tcW w:type="dxa" w:w="2736"/>
            <w:vAlign w:val="center"/>
            <w:tcMar>
              <w:top w:w="100" w:type="dxa"/>
              <w:start w:w="110" w:type="dxa"/>
              <w:bottom w:w="100" w:type="dxa"/>
              <w:end w:w="110" w:type="dxa"/>
            </w:tcMar>
          </w:tcPr>
          <w:p>
            <w:pPr>
              <w:jc w:val="center"/>
            </w:pPr>
            <w:r/>
          </w:p>
        </w:tc>
      </w:tr>
      <w:tr>
        <w:trPr>
          <w:cantSplit/>
        </w:trPr>
        <w:tc>
          <w:tcPr>
            <w:tcW w:type="dxa" w:w="2088"/>
            <w:shd w:fill="EFF4F8"/>
            <w:vAlign w:val="center"/>
            <w:tcMar>
              <w:top w:w="100" w:type="dxa"/>
              <w:start w:w="110" w:type="dxa"/>
              <w:bottom w:w="100" w:type="dxa"/>
              <w:end w:w="110" w:type="dxa"/>
            </w:tcMar>
          </w:tcPr>
          <w:p>
            <w:pPr>
              <w:jc w:val="center"/>
            </w:pPr>
            <w:r>
              <w:t>Operations approver</w:t>
            </w:r>
          </w:p>
        </w:tc>
        <w:tc>
          <w:tcPr>
            <w:tcW w:type="dxa" w:w="1800"/>
            <w:shd w:fill="EFF4F8"/>
            <w:vAlign w:val="center"/>
            <w:tcMar>
              <w:top w:w="100" w:type="dxa"/>
              <w:start w:w="110" w:type="dxa"/>
              <w:bottom w:w="100" w:type="dxa"/>
              <w:end w:w="110" w:type="dxa"/>
            </w:tcMar>
          </w:tcPr>
          <w:p>
            <w:pPr>
              <w:jc w:val="center"/>
            </w:pPr>
            <w:r/>
          </w:p>
        </w:tc>
        <w:tc>
          <w:tcPr>
            <w:tcW w:type="dxa" w:w="1656"/>
            <w:shd w:fill="EFF4F8"/>
            <w:vAlign w:val="center"/>
            <w:tcMar>
              <w:top w:w="100" w:type="dxa"/>
              <w:start w:w="110" w:type="dxa"/>
              <w:bottom w:w="100" w:type="dxa"/>
              <w:end w:w="110" w:type="dxa"/>
            </w:tcMar>
          </w:tcPr>
          <w:p>
            <w:pPr>
              <w:jc w:val="center"/>
            </w:pPr>
            <w:r/>
          </w:p>
        </w:tc>
        <w:tc>
          <w:tcPr>
            <w:tcW w:type="dxa" w:w="1440"/>
            <w:shd w:fill="EFF4F8"/>
            <w:vAlign w:val="center"/>
            <w:tcMar>
              <w:top w:w="100" w:type="dxa"/>
              <w:start w:w="110" w:type="dxa"/>
              <w:bottom w:w="100" w:type="dxa"/>
              <w:end w:w="110" w:type="dxa"/>
            </w:tcMar>
          </w:tcPr>
          <w:p>
            <w:pPr>
              <w:jc w:val="center"/>
            </w:pPr>
            <w:r/>
          </w:p>
        </w:tc>
        <w:tc>
          <w:tcPr>
            <w:tcW w:type="dxa" w:w="2736"/>
            <w:shd w:fill="EFF4F8"/>
            <w:vAlign w:val="center"/>
            <w:tcMar>
              <w:top w:w="100" w:type="dxa"/>
              <w:start w:w="110" w:type="dxa"/>
              <w:bottom w:w="100" w:type="dxa"/>
              <w:end w:w="110" w:type="dxa"/>
            </w:tcMar>
          </w:tcPr>
          <w:p>
            <w:pPr>
              <w:jc w:val="center"/>
            </w:pPr>
            <w:r/>
          </w:p>
        </w:tc>
      </w:tr>
      <w:tr>
        <w:trPr>
          <w:cantSplit/>
        </w:trPr>
        <w:tc>
          <w:tcPr>
            <w:tcW w:type="dxa" w:w="2088"/>
            <w:vAlign w:val="center"/>
            <w:tcMar>
              <w:top w:w="100" w:type="dxa"/>
              <w:start w:w="110" w:type="dxa"/>
              <w:bottom w:w="100" w:type="dxa"/>
              <w:end w:w="110" w:type="dxa"/>
            </w:tcMar>
          </w:tcPr>
          <w:p>
            <w:pPr>
              <w:jc w:val="center"/>
            </w:pPr>
            <w:r>
              <w:t>Quality approver</w:t>
            </w:r>
          </w:p>
        </w:tc>
        <w:tc>
          <w:tcPr>
            <w:tcW w:type="dxa" w:w="1800"/>
            <w:vAlign w:val="center"/>
            <w:tcMar>
              <w:top w:w="100" w:type="dxa"/>
              <w:start w:w="110" w:type="dxa"/>
              <w:bottom w:w="100" w:type="dxa"/>
              <w:end w:w="110" w:type="dxa"/>
            </w:tcMar>
          </w:tcPr>
          <w:p>
            <w:pPr>
              <w:jc w:val="center"/>
            </w:pPr>
            <w:r/>
          </w:p>
        </w:tc>
        <w:tc>
          <w:tcPr>
            <w:tcW w:type="dxa" w:w="1656"/>
            <w:vAlign w:val="center"/>
            <w:tcMar>
              <w:top w:w="100" w:type="dxa"/>
              <w:start w:w="110" w:type="dxa"/>
              <w:bottom w:w="100" w:type="dxa"/>
              <w:end w:w="110" w:type="dxa"/>
            </w:tcMar>
          </w:tcPr>
          <w:p>
            <w:pPr>
              <w:jc w:val="center"/>
            </w:pPr>
            <w:r/>
          </w:p>
        </w:tc>
        <w:tc>
          <w:tcPr>
            <w:tcW w:type="dxa" w:w="1440"/>
            <w:vAlign w:val="center"/>
            <w:tcMar>
              <w:top w:w="100" w:type="dxa"/>
              <w:start w:w="110" w:type="dxa"/>
              <w:bottom w:w="100" w:type="dxa"/>
              <w:end w:w="110" w:type="dxa"/>
            </w:tcMar>
          </w:tcPr>
          <w:p>
            <w:pPr>
              <w:jc w:val="center"/>
            </w:pPr>
            <w:r/>
          </w:p>
        </w:tc>
        <w:tc>
          <w:tcPr>
            <w:tcW w:type="dxa" w:w="2736"/>
            <w:vAlign w:val="center"/>
            <w:tcMar>
              <w:top w:w="100" w:type="dxa"/>
              <w:start w:w="110" w:type="dxa"/>
              <w:bottom w:w="100" w:type="dxa"/>
              <w:end w:w="110" w:type="dxa"/>
            </w:tcMar>
          </w:tcPr>
          <w:p>
            <w:pPr>
              <w:jc w:val="center"/>
            </w:pPr>
            <w:r/>
          </w:p>
        </w:tc>
      </w:tr>
      <w:tr>
        <w:trPr>
          <w:cantSplit/>
        </w:trPr>
        <w:tc>
          <w:tcPr>
            <w:tcW w:type="dxa" w:w="2088"/>
            <w:shd w:fill="EFF4F8"/>
            <w:vAlign w:val="center"/>
            <w:tcMar>
              <w:top w:w="100" w:type="dxa"/>
              <w:start w:w="110" w:type="dxa"/>
              <w:bottom w:w="100" w:type="dxa"/>
              <w:end w:w="110" w:type="dxa"/>
            </w:tcMar>
          </w:tcPr>
          <w:p>
            <w:pPr>
              <w:jc w:val="center"/>
            </w:pPr>
            <w:r>
              <w:t>Member approval</w:t>
            </w:r>
          </w:p>
        </w:tc>
        <w:tc>
          <w:tcPr>
            <w:tcW w:type="dxa" w:w="1800"/>
            <w:shd w:fill="EFF4F8"/>
            <w:vAlign w:val="center"/>
            <w:tcMar>
              <w:top w:w="100" w:type="dxa"/>
              <w:start w:w="110" w:type="dxa"/>
              <w:bottom w:w="100" w:type="dxa"/>
              <w:end w:w="110" w:type="dxa"/>
            </w:tcMar>
          </w:tcPr>
          <w:p>
            <w:pPr>
              <w:jc w:val="center"/>
            </w:pPr>
            <w:r/>
          </w:p>
        </w:tc>
        <w:tc>
          <w:tcPr>
            <w:tcW w:type="dxa" w:w="1656"/>
            <w:shd w:fill="EFF4F8"/>
            <w:vAlign w:val="center"/>
            <w:tcMar>
              <w:top w:w="100" w:type="dxa"/>
              <w:start w:w="110" w:type="dxa"/>
              <w:bottom w:w="100" w:type="dxa"/>
              <w:end w:w="110" w:type="dxa"/>
            </w:tcMar>
          </w:tcPr>
          <w:p>
            <w:pPr>
              <w:jc w:val="center"/>
            </w:pPr>
            <w:r/>
          </w:p>
        </w:tc>
        <w:tc>
          <w:tcPr>
            <w:tcW w:type="dxa" w:w="1440"/>
            <w:shd w:fill="EFF4F8"/>
            <w:vAlign w:val="center"/>
            <w:tcMar>
              <w:top w:w="100" w:type="dxa"/>
              <w:start w:w="110" w:type="dxa"/>
              <w:bottom w:w="100" w:type="dxa"/>
              <w:end w:w="110" w:type="dxa"/>
            </w:tcMar>
          </w:tcPr>
          <w:p>
            <w:pPr>
              <w:jc w:val="center"/>
            </w:pPr>
            <w:r/>
          </w:p>
        </w:tc>
        <w:tc>
          <w:tcPr>
            <w:tcW w:type="dxa" w:w="2736"/>
            <w:shd w:fill="EFF4F8"/>
            <w:vAlign w:val="center"/>
            <w:tcMar>
              <w:top w:w="100" w:type="dxa"/>
              <w:start w:w="110" w:type="dxa"/>
              <w:bottom w:w="100" w:type="dxa"/>
              <w:end w:w="110" w:type="dxa"/>
            </w:tcMar>
          </w:tcPr>
          <w:p>
            <w:pPr>
              <w:jc w:val="center"/>
            </w:pPr>
            <w:r/>
          </w:p>
        </w:tc>
      </w:tr>
    </w:tbl>
    <w:p>
      <w:pPr>
        <w:spacing w:after="20"/>
      </w:pP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080" w:right="1224" w:bottom="1008"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MAN 001   Controlled draft   </w:t>
    </w:r>
    <w:r>
      <w:rPr>
        <w:color w:val="000000"/>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MAN 001   Controlled draft   </w:t>
    </w:r>
    <w:r>
      <w:rPr>
        <w:color w:val="000000"/>
      </w:rPr>
      <w:t xml:space="preserve">Page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MAN 001   Controlled draft   </w:t>
    </w:r>
    <w:r>
      <w:rPr>
        <w:color w:val="000000"/>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Operations Control Manual</dc:title>
  <dc:subject>Business operations and standard operating procedures</dc:subject>
  <dc:creator>NexPhase Labs</dc:creator>
  <cp:keywords/>
  <dc:description>generated by python-docx</dc:description>
  <cp:lastModifiedBy/>
  <cp:revision>1</cp:revision>
  <dcterms:created xsi:type="dcterms:W3CDTF">2013-12-23T23:15:00Z</dcterms:created>
  <dcterms:modified xsi:type="dcterms:W3CDTF">2013-12-23T23:15:00Z</dcterms:modified>
  <cp:category/>
</cp:coreProperties>
</file>