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Technical Operations and Recovery Manual</w:t>
      </w:r>
    </w:p>
    <w:p>
      <w:pPr>
        <w:pStyle w:val="Subtitle"/>
      </w:pPr>
      <w:r>
        <w:rPr>
          <w:color w:val="000000"/>
        </w:rPr>
        <w:t>Safe deployment provider activation monitoring backup restore and incident response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2448"/>
        <w:gridCol w:w="2448"/>
        <w:gridCol w:w="2448"/>
      </w:tblGrid>
      <w:tr>
        <w:trPr>
          <w:tblHeader w:val="true"/>
        </w:trPr>
        <w:tc>
          <w:tcPr>
            <w:tcW w:type="dxa" w:w="1800"/>
            <w:shd w:fill="17365D"/>
            <w:vAlign w:val="center"/>
            <w:tcMar>
              <w:top w:w="100" w:type="dxa"/>
              <w:start w:w="110" w:type="dxa"/>
              <w:bottom w:w="100" w:type="dxa"/>
              <w:end w:w="110" w:type="dxa"/>
            </w:tcMar>
          </w:tcPr>
          <w:p>
            <w:pPr>
              <w:jc w:val="center"/>
            </w:pPr>
            <w:r>
              <w:rPr>
                <w:b/>
                <w:color w:val="FFFFFF"/>
                <w:sz w:val="18"/>
              </w:rPr>
              <w:t>Document</w:t>
            </w:r>
          </w:p>
        </w:tc>
        <w:tc>
          <w:tcPr>
            <w:tcW w:type="dxa" w:w="1656"/>
            <w:shd w:fill="17365D"/>
            <w:vAlign w:val="center"/>
            <w:tcMar>
              <w:top w:w="100" w:type="dxa"/>
              <w:start w:w="110" w:type="dxa"/>
              <w:bottom w:w="100" w:type="dxa"/>
              <w:end w:w="110" w:type="dxa"/>
            </w:tcMar>
          </w:tcPr>
          <w:p>
            <w:pPr>
              <w:jc w:val="center"/>
            </w:pPr>
            <w:r>
              <w:rPr>
                <w:b/>
                <w:color w:val="FFFFFF"/>
                <w:sz w:val="18"/>
              </w:rPr>
              <w:t>Revision</w:t>
            </w:r>
          </w:p>
        </w:tc>
        <w:tc>
          <w:tcPr>
            <w:tcW w:type="dxa" w:w="2448"/>
            <w:shd w:fill="17365D"/>
            <w:vAlign w:val="center"/>
            <w:tcMar>
              <w:top w:w="100" w:type="dxa"/>
              <w:start w:w="110" w:type="dxa"/>
              <w:bottom w:w="100" w:type="dxa"/>
              <w:end w:w="110" w:type="dxa"/>
            </w:tcMar>
          </w:tcPr>
          <w:p>
            <w:pPr>
              <w:jc w:val="center"/>
            </w:pPr>
            <w:r>
              <w:rPr>
                <w:b/>
                <w:color w:val="FFFFFF"/>
                <w:sz w:val="18"/>
              </w:rPr>
              <w:t>Status</w:t>
            </w:r>
          </w:p>
        </w:tc>
        <w:tc>
          <w:tcPr>
            <w:tcW w:type="dxa" w:w="3384"/>
            <w:shd w:fill="17365D"/>
            <w:vAlign w:val="center"/>
            <w:tcMar>
              <w:top w:w="100" w:type="dxa"/>
              <w:start w:w="110" w:type="dxa"/>
              <w:bottom w:w="100" w:type="dxa"/>
              <w:end w:w="110" w:type="dxa"/>
            </w:tcMar>
          </w:tcPr>
          <w:p>
            <w:pPr>
              <w:jc w:val="center"/>
            </w:pPr>
            <w:r>
              <w:rPr>
                <w:b/>
                <w:color w:val="FFFFFF"/>
                <w:sz w:val="18"/>
              </w:rPr>
              <w:t>Review cycle</w:t>
            </w:r>
          </w:p>
        </w:tc>
      </w:tr>
      <w:tr>
        <w:trPr>
          <w:cantSplit/>
        </w:trPr>
        <w:tc>
          <w:tcPr>
            <w:tcW w:type="dxa" w:w="1800"/>
            <w:vAlign w:val="center"/>
            <w:tcMar>
              <w:top w:w="100" w:type="dxa"/>
              <w:start w:w="110" w:type="dxa"/>
              <w:bottom w:w="100" w:type="dxa"/>
              <w:end w:w="110" w:type="dxa"/>
            </w:tcMar>
          </w:tcPr>
          <w:p>
            <w:pPr>
              <w:jc w:val="center"/>
            </w:pPr>
            <w:r>
              <w:t>MAN 002</w:t>
            </w:r>
          </w:p>
        </w:tc>
        <w:tc>
          <w:tcPr>
            <w:tcW w:type="dxa" w:w="1656"/>
            <w:vAlign w:val="center"/>
            <w:tcMar>
              <w:top w:w="100" w:type="dxa"/>
              <w:start w:w="110" w:type="dxa"/>
              <w:bottom w:w="100" w:type="dxa"/>
              <w:end w:w="110" w:type="dxa"/>
            </w:tcMar>
          </w:tcPr>
          <w:p>
            <w:pPr>
              <w:jc w:val="center"/>
            </w:pPr>
            <w:r>
              <w:t>Revision 0 1</w:t>
            </w:r>
          </w:p>
        </w:tc>
        <w:tc>
          <w:tcPr>
            <w:tcW w:type="dxa" w:w="2448"/>
            <w:vAlign w:val="center"/>
            <w:tcMar>
              <w:top w:w="100" w:type="dxa"/>
              <w:start w:w="110" w:type="dxa"/>
              <w:bottom w:w="100" w:type="dxa"/>
              <w:end w:w="110" w:type="dxa"/>
            </w:tcMar>
          </w:tcPr>
          <w:p>
            <w:pPr>
              <w:jc w:val="center"/>
            </w:pPr>
            <w:r>
              <w:t>Controlled draft</w:t>
            </w:r>
          </w:p>
        </w:tc>
        <w:tc>
          <w:tcPr>
            <w:tcW w:type="dxa" w:w="3384"/>
            <w:vAlign w:val="center"/>
            <w:tcMar>
              <w:top w:w="100" w:type="dxa"/>
              <w:start w:w="110" w:type="dxa"/>
              <w:bottom w:w="100" w:type="dxa"/>
              <w:end w:w="110" w:type="dxa"/>
            </w:tcMar>
          </w:tcPr>
          <w:p>
            <w:pPr>
              <w:jc w:val="left"/>
            </w:pPr>
            <w:r>
              <w:t>Annual and after material change</w:t>
            </w:r>
          </w:p>
        </w:tc>
      </w:tr>
    </w:tbl>
    <w:p>
      <w:pPr>
        <w:spacing w:after="20"/>
      </w:pPr>
    </w:p>
    <w:p>
      <w:r>
        <w:rPr>
          <w:b/>
        </w:rPr>
        <w:t xml:space="preserve">Issuance condition  </w:t>
      </w:r>
      <w:r>
        <w:t>The authorized members must approve the authority matrix and open policies, then named operators must complete a staging walkthrough. Record approval and training evidence in Operating Controls before changing this document to issued.</w:t>
      </w:r>
    </w:p>
    <w:p>
      <w:pPr>
        <w:pStyle w:val="Heading1"/>
      </w:pPr>
      <w:r>
        <w:t>Manual purpose</w:t>
      </w:r>
    </w:p>
    <w:p>
      <w:r>
        <w:t>This manual governs technical changes that can affect business records, customer access, payments, shipping, documents, and recovery. It requires environment separation, evidence before activation, reversible changes, and an operational case when service or data integrity is uncertain.</w:t>
      </w:r>
    </w:p>
    <w:p>
      <w:pPr>
        <w:pStyle w:val="Heading1"/>
      </w:pPr>
      <w:r>
        <w:t>Environment boundaries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58"/>
        <w:gridCol w:w="1958"/>
        <w:gridCol w:w="1958"/>
        <w:gridCol w:w="1958"/>
        <w:gridCol w:w="1958"/>
      </w:tblGrid>
      <w:tr>
        <w:trPr>
          <w:tblHeader w:val="true"/>
        </w:trPr>
        <w:tc>
          <w:tcPr>
            <w:tcW w:type="dxa" w:w="1440"/>
            <w:shd w:fill="17365D"/>
            <w:vAlign w:val="center"/>
            <w:tcMar>
              <w:top w:w="100" w:type="dxa"/>
              <w:start w:w="110" w:type="dxa"/>
              <w:bottom w:w="100" w:type="dxa"/>
              <w:end w:w="110" w:type="dxa"/>
            </w:tcMar>
          </w:tcPr>
          <w:p>
            <w:pPr>
              <w:jc w:val="center"/>
            </w:pPr>
            <w:r>
              <w:rPr>
                <w:b/>
                <w:color w:val="FFFFFF"/>
                <w:sz w:val="18"/>
              </w:rPr>
              <w:t>Environment</w:t>
            </w:r>
          </w:p>
        </w:tc>
        <w:tc>
          <w:tcPr>
            <w:tcW w:type="dxa" w:w="1944"/>
            <w:shd w:fill="17365D"/>
            <w:vAlign w:val="center"/>
            <w:tcMar>
              <w:top w:w="100" w:type="dxa"/>
              <w:start w:w="110" w:type="dxa"/>
              <w:bottom w:w="100" w:type="dxa"/>
              <w:end w:w="110" w:type="dxa"/>
            </w:tcMar>
          </w:tcPr>
          <w:p>
            <w:pPr>
              <w:jc w:val="center"/>
            </w:pPr>
            <w:r>
              <w:rPr>
                <w:b/>
                <w:color w:val="FFFFFF"/>
                <w:sz w:val="18"/>
              </w:rPr>
              <w:t>Worker</w:t>
            </w:r>
          </w:p>
        </w:tc>
        <w:tc>
          <w:tcPr>
            <w:tcW w:type="dxa" w:w="1944"/>
            <w:shd w:fill="17365D"/>
            <w:vAlign w:val="center"/>
            <w:tcMar>
              <w:top w:w="100" w:type="dxa"/>
              <w:start w:w="110" w:type="dxa"/>
              <w:bottom w:w="100" w:type="dxa"/>
              <w:end w:w="110" w:type="dxa"/>
            </w:tcMar>
          </w:tcPr>
          <w:p>
            <w:pPr>
              <w:jc w:val="center"/>
            </w:pPr>
            <w:r>
              <w:rPr>
                <w:b/>
                <w:color w:val="FFFFFF"/>
                <w:sz w:val="18"/>
              </w:rPr>
              <w:t>Database</w:t>
            </w:r>
          </w:p>
        </w:tc>
        <w:tc>
          <w:tcPr>
            <w:tcW w:type="dxa" w:w="2088"/>
            <w:shd w:fill="17365D"/>
            <w:vAlign w:val="center"/>
            <w:tcMar>
              <w:top w:w="100" w:type="dxa"/>
              <w:start w:w="110" w:type="dxa"/>
              <w:bottom w:w="100" w:type="dxa"/>
              <w:end w:w="110" w:type="dxa"/>
            </w:tcMar>
          </w:tcPr>
          <w:p>
            <w:pPr>
              <w:jc w:val="center"/>
            </w:pPr>
            <w:r>
              <w:rPr>
                <w:b/>
                <w:color w:val="FFFFFF"/>
                <w:sz w:val="18"/>
              </w:rPr>
              <w:t>Documents</w:t>
            </w:r>
          </w:p>
        </w:tc>
        <w:tc>
          <w:tcPr>
            <w:tcW w:type="dxa" w:w="2304"/>
            <w:shd w:fill="17365D"/>
            <w:vAlign w:val="center"/>
            <w:tcMar>
              <w:top w:w="100" w:type="dxa"/>
              <w:start w:w="110" w:type="dxa"/>
              <w:bottom w:w="100" w:type="dxa"/>
              <w:end w:w="110" w:type="dxa"/>
            </w:tcMar>
          </w:tcPr>
          <w:p>
            <w:pPr>
              <w:jc w:val="center"/>
            </w:pPr>
            <w:r>
              <w:rPr>
                <w:b/>
                <w:color w:val="FFFFFF"/>
                <w:sz w:val="18"/>
              </w:rPr>
              <w:t>Permitted use</w:t>
            </w:r>
          </w:p>
        </w:tc>
      </w:tr>
      <w:tr>
        <w:trPr>
          <w:cantSplit/>
        </w:trPr>
        <w:tc>
          <w:tcPr>
            <w:tcW w:type="dxa" w:w="1440"/>
            <w:vAlign w:val="center"/>
            <w:tcMar>
              <w:top w:w="100" w:type="dxa"/>
              <w:start w:w="110" w:type="dxa"/>
              <w:bottom w:w="100" w:type="dxa"/>
              <w:end w:w="110" w:type="dxa"/>
            </w:tcMar>
          </w:tcPr>
          <w:p>
            <w:pPr>
              <w:jc w:val="center"/>
            </w:pPr>
            <w:r>
              <w:t>Local</w:t>
            </w:r>
          </w:p>
        </w:tc>
        <w:tc>
          <w:tcPr>
            <w:tcW w:type="dxa" w:w="1944"/>
            <w:vAlign w:val="center"/>
            <w:tcMar>
              <w:top w:w="100" w:type="dxa"/>
              <w:start w:w="110" w:type="dxa"/>
              <w:bottom w:w="100" w:type="dxa"/>
              <w:end w:w="110" w:type="dxa"/>
            </w:tcMar>
          </w:tcPr>
          <w:p>
            <w:pPr>
              <w:jc w:val="center"/>
            </w:pPr>
            <w:r>
              <w:t>Local runtime</w:t>
            </w:r>
          </w:p>
        </w:tc>
        <w:tc>
          <w:tcPr>
            <w:tcW w:type="dxa" w:w="1944"/>
            <w:vAlign w:val="center"/>
            <w:tcMar>
              <w:top w:w="100" w:type="dxa"/>
              <w:start w:w="110" w:type="dxa"/>
              <w:bottom w:w="100" w:type="dxa"/>
              <w:end w:w="110" w:type="dxa"/>
            </w:tcMar>
          </w:tcPr>
          <w:p>
            <w:pPr>
              <w:jc w:val="center"/>
            </w:pPr>
            <w:r>
              <w:t>Local D1 state</w:t>
            </w:r>
          </w:p>
        </w:tc>
        <w:tc>
          <w:tcPr>
            <w:tcW w:type="dxa" w:w="2088"/>
            <w:vAlign w:val="center"/>
            <w:tcMar>
              <w:top w:w="100" w:type="dxa"/>
              <w:start w:w="110" w:type="dxa"/>
              <w:bottom w:w="100" w:type="dxa"/>
              <w:end w:w="110" w:type="dxa"/>
            </w:tcMar>
          </w:tcPr>
          <w:p>
            <w:pPr>
              <w:jc w:val="center"/>
            </w:pPr>
            <w:r>
              <w:t>Local R2 state</w:t>
            </w:r>
          </w:p>
        </w:tc>
        <w:tc>
          <w:tcPr>
            <w:tcW w:type="dxa" w:w="2304"/>
            <w:vAlign w:val="center"/>
            <w:tcMar>
              <w:top w:w="100" w:type="dxa"/>
              <w:start w:w="110" w:type="dxa"/>
              <w:bottom w:w="100" w:type="dxa"/>
              <w:end w:w="110" w:type="dxa"/>
            </w:tcMar>
          </w:tcPr>
          <w:p>
            <w:pPr>
              <w:jc w:val="left"/>
            </w:pPr>
            <w:r>
              <w:t>Development and automated tests</w:t>
            </w:r>
          </w:p>
        </w:tc>
      </w:tr>
      <w:tr>
        <w:trPr>
          <w:cantSplit/>
        </w:trPr>
        <w:tc>
          <w:tcPr>
            <w:tcW w:type="dxa" w:w="1440"/>
            <w:shd w:fill="EFF4F8"/>
            <w:vAlign w:val="center"/>
            <w:tcMar>
              <w:top w:w="100" w:type="dxa"/>
              <w:start w:w="110" w:type="dxa"/>
              <w:bottom w:w="100" w:type="dxa"/>
              <w:end w:w="110" w:type="dxa"/>
            </w:tcMar>
          </w:tcPr>
          <w:p>
            <w:pPr>
              <w:jc w:val="center"/>
            </w:pPr>
            <w:r>
              <w:t>Staging</w:t>
            </w:r>
          </w:p>
        </w:tc>
        <w:tc>
          <w:tcPr>
            <w:tcW w:type="dxa" w:w="1944"/>
            <w:shd w:fill="EFF4F8"/>
            <w:vAlign w:val="center"/>
            <w:tcMar>
              <w:top w:w="100" w:type="dxa"/>
              <w:start w:w="110" w:type="dxa"/>
              <w:bottom w:w="100" w:type="dxa"/>
              <w:end w:w="110" w:type="dxa"/>
            </w:tcMar>
          </w:tcPr>
          <w:p>
            <w:pPr>
              <w:jc w:val="center"/>
            </w:pPr>
            <w:r>
              <w:t>nexphaselabs staging</w:t>
            </w:r>
          </w:p>
        </w:tc>
        <w:tc>
          <w:tcPr>
            <w:tcW w:type="dxa" w:w="1944"/>
            <w:shd w:fill="EFF4F8"/>
            <w:vAlign w:val="center"/>
            <w:tcMar>
              <w:top w:w="100" w:type="dxa"/>
              <w:start w:w="110" w:type="dxa"/>
              <w:bottom w:w="100" w:type="dxa"/>
              <w:end w:w="110" w:type="dxa"/>
            </w:tcMar>
          </w:tcPr>
          <w:p>
            <w:pPr>
              <w:jc w:val="center"/>
            </w:pPr>
            <w:r>
              <w:t>nexphase labs staging</w:t>
            </w:r>
          </w:p>
        </w:tc>
        <w:tc>
          <w:tcPr>
            <w:tcW w:type="dxa" w:w="2088"/>
            <w:shd w:fill="EFF4F8"/>
            <w:vAlign w:val="center"/>
            <w:tcMar>
              <w:top w:w="100" w:type="dxa"/>
              <w:start w:w="110" w:type="dxa"/>
              <w:bottom w:w="100" w:type="dxa"/>
              <w:end w:w="110" w:type="dxa"/>
            </w:tcMar>
          </w:tcPr>
          <w:p>
            <w:pPr>
              <w:jc w:val="left"/>
            </w:pPr>
            <w:r>
              <w:t>nexphase documents staging</w:t>
            </w:r>
          </w:p>
        </w:tc>
        <w:tc>
          <w:tcPr>
            <w:tcW w:type="dxa" w:w="2304"/>
            <w:shd w:fill="EFF4F8"/>
            <w:vAlign w:val="center"/>
            <w:tcMar>
              <w:top w:w="100" w:type="dxa"/>
              <w:start w:w="110" w:type="dxa"/>
              <w:bottom w:w="100" w:type="dxa"/>
              <w:end w:w="110" w:type="dxa"/>
            </w:tcMar>
          </w:tcPr>
          <w:p>
            <w:pPr>
              <w:jc w:val="left"/>
            </w:pPr>
            <w:r>
              <w:t>Controlled rehearsal with synthetic data</w:t>
            </w:r>
          </w:p>
        </w:tc>
      </w:tr>
      <w:tr>
        <w:trPr>
          <w:cantSplit/>
        </w:trPr>
        <w:tc>
          <w:tcPr>
            <w:tcW w:type="dxa" w:w="1440"/>
            <w:vAlign w:val="center"/>
            <w:tcMar>
              <w:top w:w="100" w:type="dxa"/>
              <w:start w:w="110" w:type="dxa"/>
              <w:bottom w:w="100" w:type="dxa"/>
              <w:end w:w="110" w:type="dxa"/>
            </w:tcMar>
          </w:tcPr>
          <w:p>
            <w:pPr>
              <w:jc w:val="center"/>
            </w:pPr>
            <w:r>
              <w:t>Production</w:t>
            </w:r>
          </w:p>
        </w:tc>
        <w:tc>
          <w:tcPr>
            <w:tcW w:type="dxa" w:w="1944"/>
            <w:vAlign w:val="center"/>
            <w:tcMar>
              <w:top w:w="100" w:type="dxa"/>
              <w:start w:w="110" w:type="dxa"/>
              <w:bottom w:w="100" w:type="dxa"/>
              <w:end w:w="110" w:type="dxa"/>
            </w:tcMar>
          </w:tcPr>
          <w:p>
            <w:pPr>
              <w:jc w:val="center"/>
            </w:pPr>
            <w:r>
              <w:t>nexphaselabs</w:t>
            </w:r>
          </w:p>
        </w:tc>
        <w:tc>
          <w:tcPr>
            <w:tcW w:type="dxa" w:w="1944"/>
            <w:vAlign w:val="center"/>
            <w:tcMar>
              <w:top w:w="100" w:type="dxa"/>
              <w:start w:w="110" w:type="dxa"/>
              <w:bottom w:w="100" w:type="dxa"/>
              <w:end w:w="110" w:type="dxa"/>
            </w:tcMar>
          </w:tcPr>
          <w:p>
            <w:pPr>
              <w:jc w:val="center"/>
            </w:pPr>
            <w:r>
              <w:t>nexphase labs</w:t>
            </w:r>
          </w:p>
        </w:tc>
        <w:tc>
          <w:tcPr>
            <w:tcW w:type="dxa" w:w="2088"/>
            <w:vAlign w:val="center"/>
            <w:tcMar>
              <w:top w:w="100" w:type="dxa"/>
              <w:start w:w="110" w:type="dxa"/>
              <w:bottom w:w="100" w:type="dxa"/>
              <w:end w:w="110" w:type="dxa"/>
            </w:tcMar>
          </w:tcPr>
          <w:p>
            <w:pPr>
              <w:jc w:val="center"/>
            </w:pPr>
            <w:r>
              <w:t>nexphase documents</w:t>
            </w:r>
          </w:p>
        </w:tc>
        <w:tc>
          <w:tcPr>
            <w:tcW w:type="dxa" w:w="2304"/>
            <w:vAlign w:val="center"/>
            <w:tcMar>
              <w:top w:w="100" w:type="dxa"/>
              <w:start w:w="110" w:type="dxa"/>
              <w:bottom w:w="100" w:type="dxa"/>
              <w:end w:w="110" w:type="dxa"/>
            </w:tcMar>
          </w:tcPr>
          <w:p>
            <w:pPr>
              <w:jc w:val="left"/>
            </w:pPr>
            <w:r>
              <w:t>Real activity only after launch approval</w:t>
            </w:r>
          </w:p>
        </w:tc>
      </w:tr>
    </w:tbl>
    <w:p>
      <w:pPr>
        <w:spacing w:after="20"/>
      </w:pPr>
    </w:p>
    <w:p>
      <w:r>
        <w:t>The public domain currently serves the prior site. A deployment does not authorize a DNS cutover, real provider activity, production data import, or customer contact. Each action needs its own approved change record.</w:t>
      </w:r>
    </w:p>
    <w:p>
      <w:pPr>
        <w:pStyle w:val="Heading1"/>
      </w:pPr>
      <w:r>
        <w:t>Access and secret control</w:t>
      </w:r>
    </w:p>
    <w:p>
      <w:pPr>
        <w:pStyle w:val="ListBullet"/>
      </w:pPr>
      <w:r>
        <w:t>Use individual staff accounts and the least authority approved for the person’s responsibilities.</w:t>
      </w:r>
    </w:p>
    <w:p>
      <w:pPr>
        <w:pStyle w:val="ListBullet"/>
      </w:pPr>
      <w:r>
        <w:t>Keep provider keys and deployment credentials in approved secret systems. Never record them in source files, Drive, forms, cases, or manuals.</w:t>
      </w:r>
    </w:p>
    <w:p>
      <w:pPr>
        <w:pStyle w:val="ListBullet"/>
      </w:pPr>
      <w:r>
        <w:t>Protect all staging hostnames, including direct workers.dev access, and test the restriction from an unauthenticated browser.</w:t>
      </w:r>
    </w:p>
    <w:p>
      <w:pPr>
        <w:pStyle w:val="ListBullet"/>
      </w:pPr>
      <w:r>
        <w:t>Review active users, sessions, recovery access, and leavers on the approved schedule.</w:t>
      </w:r>
    </w:p>
    <w:p>
      <w:pPr>
        <w:pStyle w:val="ListBullet"/>
      </w:pPr>
      <w:r>
        <w:t>Revoke sessions after role, password, or employment changes when continued access is not approved.</w:t>
      </w:r>
    </w:p>
    <w:p>
      <w:pPr>
        <w:pStyle w:val="Heading1"/>
      </w:pPr>
      <w:r>
        <w:t>Change and deployment procedure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64"/>
        <w:gridCol w:w="3264"/>
        <w:gridCol w:w="3264"/>
      </w:tblGrid>
      <w:tr>
        <w:trPr>
          <w:tblHeader w:val="true"/>
        </w:trPr>
        <w:tc>
          <w:tcPr>
            <w:tcW w:type="dxa" w:w="792"/>
            <w:shd w:fill="17365D"/>
            <w:vAlign w:val="center"/>
            <w:tcMar>
              <w:top w:w="100" w:type="dxa"/>
              <w:start w:w="110" w:type="dxa"/>
              <w:bottom w:w="100" w:type="dxa"/>
              <w:end w:w="110" w:type="dxa"/>
            </w:tcMar>
          </w:tcPr>
          <w:p>
            <w:pPr>
              <w:jc w:val="center"/>
            </w:pPr>
            <w:r>
              <w:rPr>
                <w:b/>
                <w:color w:val="FFFFFF"/>
                <w:sz w:val="18"/>
              </w:rPr>
              <w:t>Step</w:t>
            </w:r>
          </w:p>
        </w:tc>
        <w:tc>
          <w:tcPr>
            <w:tcW w:type="dxa" w:w="5256"/>
            <w:shd w:fill="17365D"/>
            <w:vAlign w:val="center"/>
            <w:tcMar>
              <w:top w:w="100" w:type="dxa"/>
              <w:start w:w="110" w:type="dxa"/>
              <w:bottom w:w="100" w:type="dxa"/>
              <w:end w:w="110" w:type="dxa"/>
            </w:tcMar>
          </w:tcPr>
          <w:p>
            <w:pPr>
              <w:jc w:val="center"/>
            </w:pPr>
            <w:r>
              <w:rPr>
                <w:b/>
                <w:color w:val="FFFFFF"/>
                <w:sz w:val="18"/>
              </w:rPr>
              <w:t>Action</w:t>
            </w:r>
          </w:p>
        </w:tc>
        <w:tc>
          <w:tcPr>
            <w:tcW w:type="dxa" w:w="3672"/>
            <w:shd w:fill="17365D"/>
            <w:vAlign w:val="center"/>
            <w:tcMar>
              <w:top w:w="100" w:type="dxa"/>
              <w:start w:w="110" w:type="dxa"/>
              <w:bottom w:w="100" w:type="dxa"/>
              <w:end w:w="110" w:type="dxa"/>
            </w:tcMar>
          </w:tcPr>
          <w:p>
            <w:pPr>
              <w:jc w:val="center"/>
            </w:pPr>
            <w:r>
              <w:rPr>
                <w:b/>
                <w:color w:val="FFFFFF"/>
                <w:sz w:val="18"/>
              </w:rPr>
              <w:t>Expected record</w:t>
            </w:r>
          </w:p>
        </w:tc>
      </w:tr>
      <w:tr>
        <w:trPr>
          <w:cantSplit/>
        </w:trPr>
        <w:tc>
          <w:tcPr>
            <w:tcW w:type="dxa" w:w="792"/>
            <w:vAlign w:val="center"/>
            <w:tcMar>
              <w:top w:w="100" w:type="dxa"/>
              <w:start w:w="110" w:type="dxa"/>
              <w:bottom w:w="100" w:type="dxa"/>
              <w:end w:w="110" w:type="dxa"/>
            </w:tcMar>
          </w:tcPr>
          <w:p>
            <w:pPr>
              <w:jc w:val="center"/>
            </w:pPr>
            <w:r>
              <w:t>1</w:t>
            </w:r>
          </w:p>
        </w:tc>
        <w:tc>
          <w:tcPr>
            <w:tcW w:type="dxa" w:w="5256"/>
            <w:vAlign w:val="center"/>
            <w:tcMar>
              <w:top w:w="100" w:type="dxa"/>
              <w:start w:w="110" w:type="dxa"/>
              <w:bottom w:w="100" w:type="dxa"/>
              <w:end w:w="110" w:type="dxa"/>
            </w:tcMar>
          </w:tcPr>
          <w:p>
            <w:pPr>
              <w:jc w:val="left"/>
            </w:pPr>
            <w:r>
              <w:t>Define scope, affected workflows, data changes, owner, reviewer, rollback, and acceptance evidence.</w:t>
            </w:r>
          </w:p>
        </w:tc>
        <w:tc>
          <w:tcPr>
            <w:tcW w:type="dxa" w:w="3672"/>
            <w:vAlign w:val="center"/>
            <w:tcMar>
              <w:top w:w="100" w:type="dxa"/>
              <w:start w:w="110" w:type="dxa"/>
              <w:bottom w:w="100" w:type="dxa"/>
              <w:end w:w="110" w:type="dxa"/>
            </w:tcMar>
          </w:tcPr>
          <w:p>
            <w:pPr>
              <w:jc w:val="left"/>
            </w:pPr>
            <w:r>
              <w:t>Approved change record</w:t>
            </w:r>
          </w:p>
        </w:tc>
      </w:tr>
      <w:tr>
        <w:trPr>
          <w:cantSplit/>
        </w:trPr>
        <w:tc>
          <w:tcPr>
            <w:tcW w:type="dxa" w:w="792"/>
            <w:shd w:fill="EFF4F8"/>
            <w:vAlign w:val="center"/>
            <w:tcMar>
              <w:top w:w="100" w:type="dxa"/>
              <w:start w:w="110" w:type="dxa"/>
              <w:bottom w:w="100" w:type="dxa"/>
              <w:end w:w="110" w:type="dxa"/>
            </w:tcMar>
          </w:tcPr>
          <w:p>
            <w:pPr>
              <w:jc w:val="center"/>
            </w:pPr>
            <w:r>
              <w:t>2</w:t>
            </w:r>
          </w:p>
        </w:tc>
        <w:tc>
          <w:tcPr>
            <w:tcW w:type="dxa" w:w="5256"/>
            <w:shd w:fill="EFF4F8"/>
            <w:vAlign w:val="center"/>
            <w:tcMar>
              <w:top w:w="100" w:type="dxa"/>
              <w:start w:w="110" w:type="dxa"/>
              <w:bottom w:w="100" w:type="dxa"/>
              <w:end w:w="110" w:type="dxa"/>
            </w:tcMar>
          </w:tcPr>
          <w:p>
            <w:pPr>
              <w:jc w:val="left"/>
            </w:pPr>
            <w:r>
              <w:t>Review uncommitted work and isolate unrelated changes. Add migration and workflow tests for data changes.</w:t>
            </w:r>
          </w:p>
        </w:tc>
        <w:tc>
          <w:tcPr>
            <w:tcW w:type="dxa" w:w="3672"/>
            <w:shd w:fill="EFF4F8"/>
            <w:vAlign w:val="center"/>
            <w:tcMar>
              <w:top w:w="100" w:type="dxa"/>
              <w:start w:w="110" w:type="dxa"/>
              <w:bottom w:w="100" w:type="dxa"/>
              <w:end w:w="110" w:type="dxa"/>
            </w:tcMar>
          </w:tcPr>
          <w:p>
            <w:pPr>
              <w:jc w:val="left"/>
            </w:pPr>
            <w:r>
              <w:t>Traceable change set</w:t>
            </w:r>
          </w:p>
        </w:tc>
      </w:tr>
      <w:tr>
        <w:trPr>
          <w:cantSplit/>
        </w:trPr>
        <w:tc>
          <w:tcPr>
            <w:tcW w:type="dxa" w:w="792"/>
            <w:vAlign w:val="center"/>
            <w:tcMar>
              <w:top w:w="100" w:type="dxa"/>
              <w:start w:w="110" w:type="dxa"/>
              <w:bottom w:w="100" w:type="dxa"/>
              <w:end w:w="110" w:type="dxa"/>
            </w:tcMar>
          </w:tcPr>
          <w:p>
            <w:pPr>
              <w:jc w:val="center"/>
            </w:pPr>
            <w:r>
              <w:t>3</w:t>
            </w:r>
          </w:p>
        </w:tc>
        <w:tc>
          <w:tcPr>
            <w:tcW w:type="dxa" w:w="5256"/>
            <w:vAlign w:val="center"/>
            <w:tcMar>
              <w:top w:w="100" w:type="dxa"/>
              <w:start w:w="110" w:type="dxa"/>
              <w:bottom w:w="100" w:type="dxa"/>
              <w:end w:w="110" w:type="dxa"/>
            </w:tcMar>
          </w:tcPr>
          <w:p>
            <w:pPr>
              <w:jc w:val="left"/>
            </w:pPr>
            <w:r>
              <w:t>Run type checking, lint, the complete test suite, production build, fresh migration replay, and foreign key check.</w:t>
            </w:r>
          </w:p>
        </w:tc>
        <w:tc>
          <w:tcPr>
            <w:tcW w:type="dxa" w:w="3672"/>
            <w:vAlign w:val="center"/>
            <w:tcMar>
              <w:top w:w="100" w:type="dxa"/>
              <w:start w:w="110" w:type="dxa"/>
              <w:bottom w:w="100" w:type="dxa"/>
              <w:end w:w="110" w:type="dxa"/>
            </w:tcMar>
          </w:tcPr>
          <w:p>
            <w:pPr>
              <w:jc w:val="left"/>
            </w:pPr>
            <w:r>
              <w:t>Green verification evidence</w:t>
            </w:r>
          </w:p>
        </w:tc>
      </w:tr>
      <w:tr>
        <w:trPr>
          <w:cantSplit/>
        </w:trPr>
        <w:tc>
          <w:tcPr>
            <w:tcW w:type="dxa" w:w="792"/>
            <w:shd w:fill="EFF4F8"/>
            <w:vAlign w:val="center"/>
            <w:tcMar>
              <w:top w:w="100" w:type="dxa"/>
              <w:start w:w="110" w:type="dxa"/>
              <w:bottom w:w="100" w:type="dxa"/>
              <w:end w:w="110" w:type="dxa"/>
            </w:tcMar>
          </w:tcPr>
          <w:p>
            <w:pPr>
              <w:jc w:val="center"/>
            </w:pPr>
            <w:r>
              <w:t>4</w:t>
            </w:r>
          </w:p>
        </w:tc>
        <w:tc>
          <w:tcPr>
            <w:tcW w:type="dxa" w:w="5256"/>
            <w:shd w:fill="EFF4F8"/>
            <w:vAlign w:val="center"/>
            <w:tcMar>
              <w:top w:w="100" w:type="dxa"/>
              <w:start w:w="110" w:type="dxa"/>
              <w:bottom w:w="100" w:type="dxa"/>
              <w:end w:w="110" w:type="dxa"/>
            </w:tcMar>
          </w:tcPr>
          <w:p>
            <w:pPr>
              <w:jc w:val="left"/>
            </w:pPr>
            <w:r>
              <w:t>Back up the target database and document bucket before a material change. Verify the database export in isolation.</w:t>
            </w:r>
          </w:p>
        </w:tc>
        <w:tc>
          <w:tcPr>
            <w:tcW w:type="dxa" w:w="3672"/>
            <w:shd w:fill="EFF4F8"/>
            <w:vAlign w:val="center"/>
            <w:tcMar>
              <w:top w:w="100" w:type="dxa"/>
              <w:start w:w="110" w:type="dxa"/>
              <w:bottom w:w="100" w:type="dxa"/>
              <w:end w:w="110" w:type="dxa"/>
            </w:tcMar>
          </w:tcPr>
          <w:p>
            <w:pPr>
              <w:jc w:val="left"/>
            </w:pPr>
            <w:r>
              <w:t>Recovery evidence</w:t>
            </w:r>
          </w:p>
        </w:tc>
      </w:tr>
      <w:tr>
        <w:trPr>
          <w:cantSplit/>
        </w:trPr>
        <w:tc>
          <w:tcPr>
            <w:tcW w:type="dxa" w:w="792"/>
            <w:vAlign w:val="center"/>
            <w:tcMar>
              <w:top w:w="100" w:type="dxa"/>
              <w:start w:w="110" w:type="dxa"/>
              <w:bottom w:w="100" w:type="dxa"/>
              <w:end w:w="110" w:type="dxa"/>
            </w:tcMar>
          </w:tcPr>
          <w:p>
            <w:pPr>
              <w:jc w:val="center"/>
            </w:pPr>
            <w:r>
              <w:t>5</w:t>
            </w:r>
          </w:p>
        </w:tc>
        <w:tc>
          <w:tcPr>
            <w:tcW w:type="dxa" w:w="5256"/>
            <w:vAlign w:val="center"/>
            <w:tcMar>
              <w:top w:w="100" w:type="dxa"/>
              <w:start w:w="110" w:type="dxa"/>
              <w:bottom w:w="100" w:type="dxa"/>
              <w:end w:w="110" w:type="dxa"/>
            </w:tcMar>
          </w:tcPr>
          <w:p>
            <w:pPr>
              <w:jc w:val="left"/>
            </w:pPr>
            <w:r>
              <w:t>Apply migrations to staging and deploy staging. Verify health, authentication, and the affected normal and failure paths.</w:t>
            </w:r>
          </w:p>
        </w:tc>
        <w:tc>
          <w:tcPr>
            <w:tcW w:type="dxa" w:w="3672"/>
            <w:vAlign w:val="center"/>
            <w:tcMar>
              <w:top w:w="100" w:type="dxa"/>
              <w:start w:w="110" w:type="dxa"/>
              <w:bottom w:w="100" w:type="dxa"/>
              <w:end w:w="110" w:type="dxa"/>
            </w:tcMar>
          </w:tcPr>
          <w:p>
            <w:pPr>
              <w:jc w:val="left"/>
            </w:pPr>
            <w:r>
              <w:t>Staging result</w:t>
            </w:r>
          </w:p>
        </w:tc>
      </w:tr>
      <w:tr>
        <w:trPr>
          <w:cantSplit/>
        </w:trPr>
        <w:tc>
          <w:tcPr>
            <w:tcW w:type="dxa" w:w="792"/>
            <w:shd w:fill="EFF4F8"/>
            <w:vAlign w:val="center"/>
            <w:tcMar>
              <w:top w:w="100" w:type="dxa"/>
              <w:start w:w="110" w:type="dxa"/>
              <w:bottom w:w="100" w:type="dxa"/>
              <w:end w:w="110" w:type="dxa"/>
            </w:tcMar>
          </w:tcPr>
          <w:p>
            <w:pPr>
              <w:jc w:val="center"/>
            </w:pPr>
            <w:r>
              <w:t>6</w:t>
            </w:r>
          </w:p>
        </w:tc>
        <w:tc>
          <w:tcPr>
            <w:tcW w:type="dxa" w:w="5256"/>
            <w:shd w:fill="EFF4F8"/>
            <w:vAlign w:val="center"/>
            <w:tcMar>
              <w:top w:w="100" w:type="dxa"/>
              <w:start w:w="110" w:type="dxa"/>
              <w:bottom w:w="100" w:type="dxa"/>
              <w:end w:w="110" w:type="dxa"/>
            </w:tcMar>
          </w:tcPr>
          <w:p>
            <w:pPr>
              <w:jc w:val="left"/>
            </w:pPr>
            <w:r>
              <w:t>Obtain production approval. Apply migration before code when the migration is backward compatible; follow the approved sequence otherwise.</w:t>
            </w:r>
          </w:p>
        </w:tc>
        <w:tc>
          <w:tcPr>
            <w:tcW w:type="dxa" w:w="3672"/>
            <w:shd w:fill="EFF4F8"/>
            <w:vAlign w:val="center"/>
            <w:tcMar>
              <w:top w:w="100" w:type="dxa"/>
              <w:start w:w="110" w:type="dxa"/>
              <w:bottom w:w="100" w:type="dxa"/>
              <w:end w:w="110" w:type="dxa"/>
            </w:tcMar>
          </w:tcPr>
          <w:p>
            <w:pPr>
              <w:jc w:val="left"/>
            </w:pPr>
            <w:r>
              <w:t>Production change event</w:t>
            </w:r>
          </w:p>
        </w:tc>
      </w:tr>
      <w:tr>
        <w:trPr>
          <w:cantSplit/>
        </w:trPr>
        <w:tc>
          <w:tcPr>
            <w:tcW w:type="dxa" w:w="792"/>
            <w:vAlign w:val="center"/>
            <w:tcMar>
              <w:top w:w="100" w:type="dxa"/>
              <w:start w:w="110" w:type="dxa"/>
              <w:bottom w:w="100" w:type="dxa"/>
              <w:end w:w="110" w:type="dxa"/>
            </w:tcMar>
          </w:tcPr>
          <w:p>
            <w:pPr>
              <w:jc w:val="center"/>
            </w:pPr>
            <w:r>
              <w:t>7</w:t>
            </w:r>
          </w:p>
        </w:tc>
        <w:tc>
          <w:tcPr>
            <w:tcW w:type="dxa" w:w="5256"/>
            <w:vAlign w:val="center"/>
            <w:tcMar>
              <w:top w:w="100" w:type="dxa"/>
              <w:start w:w="110" w:type="dxa"/>
              <w:bottom w:w="100" w:type="dxa"/>
              <w:end w:w="110" w:type="dxa"/>
            </w:tcMar>
          </w:tcPr>
          <w:p>
            <w:pPr>
              <w:jc w:val="left"/>
            </w:pPr>
            <w:r>
              <w:t>Run health and a non destructive smoke test. Monitor logs, provider queues, and operational cases.</w:t>
            </w:r>
          </w:p>
        </w:tc>
        <w:tc>
          <w:tcPr>
            <w:tcW w:type="dxa" w:w="3672"/>
            <w:vAlign w:val="center"/>
            <w:tcMar>
              <w:top w:w="100" w:type="dxa"/>
              <w:start w:w="110" w:type="dxa"/>
              <w:bottom w:w="100" w:type="dxa"/>
              <w:end w:w="110" w:type="dxa"/>
            </w:tcMar>
          </w:tcPr>
          <w:p>
            <w:pPr>
              <w:jc w:val="left"/>
            </w:pPr>
            <w:r>
              <w:t>Post change verification</w:t>
            </w:r>
          </w:p>
        </w:tc>
      </w:tr>
      <w:tr>
        <w:trPr>
          <w:cantSplit/>
        </w:trPr>
        <w:tc>
          <w:tcPr>
            <w:tcW w:type="dxa" w:w="792"/>
            <w:shd w:fill="EFF4F8"/>
            <w:vAlign w:val="center"/>
            <w:tcMar>
              <w:top w:w="100" w:type="dxa"/>
              <w:start w:w="110" w:type="dxa"/>
              <w:bottom w:w="100" w:type="dxa"/>
              <w:end w:w="110" w:type="dxa"/>
            </w:tcMar>
          </w:tcPr>
          <w:p>
            <w:pPr>
              <w:jc w:val="center"/>
            </w:pPr>
            <w:r>
              <w:t>8</w:t>
            </w:r>
          </w:p>
        </w:tc>
        <w:tc>
          <w:tcPr>
            <w:tcW w:type="dxa" w:w="5256"/>
            <w:shd w:fill="EFF4F8"/>
            <w:vAlign w:val="center"/>
            <w:tcMar>
              <w:top w:w="100" w:type="dxa"/>
              <w:start w:w="110" w:type="dxa"/>
              <w:bottom w:w="100" w:type="dxa"/>
              <w:end w:w="110" w:type="dxa"/>
            </w:tcMar>
          </w:tcPr>
          <w:p>
            <w:pPr>
              <w:jc w:val="left"/>
            </w:pPr>
            <w:r>
              <w:t>If acceptance fails, stop, preserve evidence, roll back code, and follow the database recovery decision. Never improvise destructive data reversal.</w:t>
            </w:r>
          </w:p>
        </w:tc>
        <w:tc>
          <w:tcPr>
            <w:tcW w:type="dxa" w:w="3672"/>
            <w:shd w:fill="EFF4F8"/>
            <w:vAlign w:val="center"/>
            <w:tcMar>
              <w:top w:w="100" w:type="dxa"/>
              <w:start w:w="110" w:type="dxa"/>
              <w:bottom w:w="100" w:type="dxa"/>
              <w:end w:w="110" w:type="dxa"/>
            </w:tcMar>
          </w:tcPr>
          <w:p>
            <w:pPr>
              <w:jc w:val="left"/>
            </w:pPr>
            <w:r>
              <w:t>Rollback or incident record</w:t>
            </w:r>
          </w:p>
        </w:tc>
      </w:tr>
    </w:tbl>
    <w:p>
      <w:pPr>
        <w:spacing w:after="20"/>
      </w:pPr>
    </w:p>
    <w:p>
      <w:pPr>
        <w:pStyle w:val="Heading1"/>
      </w:pPr>
      <w:r>
        <w:t>Provider activation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64"/>
        <w:gridCol w:w="3264"/>
        <w:gridCol w:w="3264"/>
      </w:tblGrid>
      <w:tr>
        <w:trPr>
          <w:tblHeader w:val="true"/>
        </w:trPr>
        <w:tc>
          <w:tcPr>
            <w:tcW w:type="dxa" w:w="2088"/>
            <w:shd w:fill="17365D"/>
            <w:vAlign w:val="center"/>
            <w:tcMar>
              <w:top w:w="100" w:type="dxa"/>
              <w:start w:w="110" w:type="dxa"/>
              <w:bottom w:w="100" w:type="dxa"/>
              <w:end w:w="110" w:type="dxa"/>
            </w:tcMar>
          </w:tcPr>
          <w:p>
            <w:pPr>
              <w:jc w:val="center"/>
            </w:pPr>
            <w:r>
              <w:rPr>
                <w:b/>
                <w:color w:val="FFFFFF"/>
                <w:sz w:val="18"/>
              </w:rPr>
              <w:t>Provider area</w:t>
            </w:r>
          </w:p>
        </w:tc>
        <w:tc>
          <w:tcPr>
            <w:tcW w:type="dxa" w:w="4392"/>
            <w:shd w:fill="17365D"/>
            <w:vAlign w:val="center"/>
            <w:tcMar>
              <w:top w:w="100" w:type="dxa"/>
              <w:start w:w="110" w:type="dxa"/>
              <w:bottom w:w="100" w:type="dxa"/>
              <w:end w:w="110" w:type="dxa"/>
            </w:tcMar>
          </w:tcPr>
          <w:p>
            <w:pPr>
              <w:jc w:val="left"/>
            </w:pPr>
            <w:r>
              <w:rPr>
                <w:b/>
                <w:color w:val="FFFFFF"/>
                <w:sz w:val="18"/>
              </w:rPr>
              <w:t>Required staging evidence</w:t>
            </w:r>
          </w:p>
        </w:tc>
        <w:tc>
          <w:tcPr>
            <w:tcW w:type="dxa" w:w="3240"/>
            <w:shd w:fill="17365D"/>
            <w:vAlign w:val="center"/>
            <w:tcMar>
              <w:top w:w="100" w:type="dxa"/>
              <w:start w:w="110" w:type="dxa"/>
              <w:bottom w:w="100" w:type="dxa"/>
              <w:end w:w="110" w:type="dxa"/>
            </w:tcMar>
          </w:tcPr>
          <w:p>
            <w:pPr>
              <w:jc w:val="center"/>
            </w:pPr>
            <w:r>
              <w:rPr>
                <w:b/>
                <w:color w:val="FFFFFF"/>
                <w:sz w:val="18"/>
              </w:rPr>
              <w:t>Production gate</w:t>
            </w:r>
          </w:p>
        </w:tc>
      </w:tr>
      <w:tr>
        <w:trPr>
          <w:cantSplit/>
        </w:trPr>
        <w:tc>
          <w:tcPr>
            <w:tcW w:type="dxa" w:w="2088"/>
            <w:vAlign w:val="center"/>
            <w:tcMar>
              <w:top w:w="100" w:type="dxa"/>
              <w:start w:w="110" w:type="dxa"/>
              <w:bottom w:w="100" w:type="dxa"/>
              <w:end w:w="110" w:type="dxa"/>
            </w:tcMar>
          </w:tcPr>
          <w:p>
            <w:pPr>
              <w:jc w:val="left"/>
            </w:pPr>
            <w:r>
              <w:t>USPS UPS FedEx through Shippo</w:t>
            </w:r>
          </w:p>
        </w:tc>
        <w:tc>
          <w:tcPr>
            <w:tcW w:type="dxa" w:w="4392"/>
            <w:vAlign w:val="center"/>
            <w:tcMar>
              <w:top w:w="100" w:type="dxa"/>
              <w:start w:w="110" w:type="dxa"/>
              <w:bottom w:w="100" w:type="dxa"/>
              <w:end w:w="110" w:type="dxa"/>
            </w:tcMar>
          </w:tcPr>
          <w:p>
            <w:pPr>
              <w:jc w:val="left"/>
            </w:pPr>
            <w:r>
              <w:t>Named origins, approved parcels and services, sandbox rates, one label, refund reconciliation, replacement after void, tracking, dangerous goods decision</w:t>
            </w:r>
          </w:p>
        </w:tc>
        <w:tc>
          <w:tcPr>
            <w:tcW w:type="dxa" w:w="3240"/>
            <w:vAlign w:val="center"/>
            <w:tcMar>
              <w:top w:w="100" w:type="dxa"/>
              <w:start w:w="110" w:type="dxa"/>
              <w:bottom w:w="100" w:type="dxa"/>
              <w:end w:w="110" w:type="dxa"/>
            </w:tcMar>
          </w:tcPr>
          <w:p>
            <w:pPr>
              <w:jc w:val="left"/>
            </w:pPr>
            <w:r>
              <w:t>Carrier accounts, each origin, service policy, return and handoff procedure approved</w:t>
            </w:r>
          </w:p>
        </w:tc>
      </w:tr>
      <w:tr>
        <w:trPr>
          <w:cantSplit/>
        </w:trPr>
        <w:tc>
          <w:tcPr>
            <w:tcW w:type="dxa" w:w="2088"/>
            <w:shd w:fill="EFF4F8"/>
            <w:vAlign w:val="center"/>
            <w:tcMar>
              <w:top w:w="100" w:type="dxa"/>
              <w:start w:w="110" w:type="dxa"/>
              <w:bottom w:w="100" w:type="dxa"/>
              <w:end w:w="110" w:type="dxa"/>
            </w:tcMar>
          </w:tcPr>
          <w:p>
            <w:pPr>
              <w:jc w:val="left"/>
            </w:pPr>
            <w:r>
              <w:t>Payment</w:t>
            </w:r>
          </w:p>
        </w:tc>
        <w:tc>
          <w:tcPr>
            <w:tcW w:type="dxa" w:w="4392"/>
            <w:shd w:fill="EFF4F8"/>
            <w:vAlign w:val="center"/>
            <w:tcMar>
              <w:top w:w="100" w:type="dxa"/>
              <w:start w:w="110" w:type="dxa"/>
              <w:bottom w:w="100" w:type="dxa"/>
              <w:end w:w="110" w:type="dxa"/>
            </w:tcMar>
          </w:tcPr>
          <w:p>
            <w:pPr>
              <w:jc w:val="left"/>
            </w:pPr>
            <w:r>
              <w:t>Invoice or payment creation, webhook or reconciliation, failure recovery, refund, settlement match</w:t>
            </w:r>
          </w:p>
        </w:tc>
        <w:tc>
          <w:tcPr>
            <w:tcW w:type="dxa" w:w="3240"/>
            <w:shd w:fill="EFF4F8"/>
            <w:vAlign w:val="center"/>
            <w:tcMar>
              <w:top w:w="100" w:type="dxa"/>
              <w:start w:w="110" w:type="dxa"/>
              <w:bottom w:w="100" w:type="dxa"/>
              <w:end w:w="110" w:type="dxa"/>
            </w:tcMar>
          </w:tcPr>
          <w:p>
            <w:pPr>
              <w:jc w:val="left"/>
            </w:pPr>
            <w:r>
              <w:t>Banking owner approves account, credentials, refund and reconciliation policy</w:t>
            </w:r>
          </w:p>
        </w:tc>
      </w:tr>
      <w:tr>
        <w:trPr>
          <w:cantSplit/>
        </w:trPr>
        <w:tc>
          <w:tcPr>
            <w:tcW w:type="dxa" w:w="2088"/>
            <w:vAlign w:val="center"/>
            <w:tcMar>
              <w:top w:w="100" w:type="dxa"/>
              <w:start w:w="110" w:type="dxa"/>
              <w:bottom w:w="100" w:type="dxa"/>
              <w:end w:w="110" w:type="dxa"/>
            </w:tcMar>
          </w:tcPr>
          <w:p>
            <w:pPr>
              <w:jc w:val="left"/>
            </w:pPr>
            <w:r>
              <w:t>Tax</w:t>
            </w:r>
          </w:p>
        </w:tc>
        <w:tc>
          <w:tcPr>
            <w:tcW w:type="dxa" w:w="4392"/>
            <w:vAlign w:val="center"/>
            <w:tcMar>
              <w:top w:w="100" w:type="dxa"/>
              <w:start w:w="110" w:type="dxa"/>
              <w:bottom w:w="100" w:type="dxa"/>
              <w:end w:w="110" w:type="dxa"/>
            </w:tcMar>
          </w:tcPr>
          <w:p>
            <w:pPr>
              <w:jc w:val="left"/>
            </w:pPr>
            <w:r>
              <w:t>Representative address calculations, exemptions where applicable, error behavior, report mapping</w:t>
            </w:r>
          </w:p>
        </w:tc>
        <w:tc>
          <w:tcPr>
            <w:tcW w:type="dxa" w:w="3240"/>
            <w:vAlign w:val="center"/>
            <w:tcMar>
              <w:top w:w="100" w:type="dxa"/>
              <w:start w:w="110" w:type="dxa"/>
              <w:bottom w:w="100" w:type="dxa"/>
              <w:end w:w="110" w:type="dxa"/>
            </w:tcMar>
          </w:tcPr>
          <w:p>
            <w:pPr>
              <w:jc w:val="left"/>
            </w:pPr>
            <w:r>
              <w:t>CPA or tax adviser approves nexus, taxability, filing owner, and configuration</w:t>
            </w:r>
          </w:p>
        </w:tc>
      </w:tr>
      <w:tr>
        <w:trPr>
          <w:cantSplit/>
        </w:trPr>
        <w:tc>
          <w:tcPr>
            <w:tcW w:type="dxa" w:w="2088"/>
            <w:shd w:fill="EFF4F8"/>
            <w:vAlign w:val="center"/>
            <w:tcMar>
              <w:top w:w="100" w:type="dxa"/>
              <w:start w:w="110" w:type="dxa"/>
              <w:bottom w:w="100" w:type="dxa"/>
              <w:end w:w="110" w:type="dxa"/>
            </w:tcMar>
          </w:tcPr>
          <w:p>
            <w:pPr>
              <w:jc w:val="left"/>
            </w:pPr>
            <w:r>
              <w:t>Email</w:t>
            </w:r>
          </w:p>
        </w:tc>
        <w:tc>
          <w:tcPr>
            <w:tcW w:type="dxa" w:w="4392"/>
            <w:shd w:fill="EFF4F8"/>
            <w:vAlign w:val="center"/>
            <w:tcMar>
              <w:top w:w="100" w:type="dxa"/>
              <w:start w:w="110" w:type="dxa"/>
              <w:bottom w:w="100" w:type="dxa"/>
              <w:end w:w="110" w:type="dxa"/>
            </w:tcMar>
          </w:tcPr>
          <w:p>
            <w:pPr>
              <w:jc w:val="left"/>
            </w:pPr>
            <w:r>
              <w:t>Approved sender, inbox delivery, bounce or failure, durable retry, manual recovery</w:t>
            </w:r>
          </w:p>
        </w:tc>
        <w:tc>
          <w:tcPr>
            <w:tcW w:type="dxa" w:w="3240"/>
            <w:shd w:fill="EFF4F8"/>
            <w:vAlign w:val="center"/>
            <w:tcMar>
              <w:top w:w="100" w:type="dxa"/>
              <w:start w:w="110" w:type="dxa"/>
              <w:bottom w:w="100" w:type="dxa"/>
              <w:end w:w="110" w:type="dxa"/>
            </w:tcMar>
          </w:tcPr>
          <w:p>
            <w:pPr>
              <w:jc w:val="left"/>
            </w:pPr>
            <w:r>
              <w:t>Domain authentication, recipients, retention, and support ownership approved</w:t>
            </w:r>
          </w:p>
        </w:tc>
      </w:tr>
    </w:tbl>
    <w:p>
      <w:pPr>
        <w:spacing w:after="20"/>
      </w:pPr>
    </w:p>
    <w:p>
      <w:r>
        <w:t>USPS is implemented through the existing Shippo rate and label boundary. Staff select a named ship from location before quoting, and the origin remains in quote and label history. Enable only approved USPS services and accurate packed dimensions. Record delivery only from carrier evidence. USPS commercial Ground Advantage rules require dimensions in applicable cases, and hazardous material rules remain the shipper’s responsibility.</w:t>
      </w:r>
    </w:p>
    <w:p>
      <w:r>
        <w:t>Label cancellation uses one durable refund claim. The application sends one Shippo refund request, blocks shipment replacement and order cancellation while the outcome is pending or uncertain, and reconciles through a read only refund lookup. If the refund response is interrupted before an identifier returns, Check refund status searches existing refunds by transaction without creating another. A replacement label is allowed only after the prior label is confirmed voided, and every label remains in order history.</w:t>
      </w:r>
    </w:p>
    <w:p>
      <w:pPr>
        <w:pStyle w:val="Heading1"/>
      </w:pPr>
      <w:r>
        <w:t>Health monitoring</w:t>
      </w:r>
    </w:p>
    <w:p>
      <w:pPr>
        <w:pStyle w:val="ListBullet"/>
      </w:pPr>
      <w:r>
        <w:t>Monitor the health endpoint for complete database schema access and document store availability without exposing business data.</w:t>
      </w:r>
    </w:p>
    <w:p>
      <w:pPr>
        <w:pStyle w:val="ListBullet"/>
      </w:pPr>
      <w:r>
        <w:t>Monitor failed customer notices, payment attempts, shipping quote and label errors, and critical or overdue operational cases.</w:t>
      </w:r>
    </w:p>
    <w:p>
      <w:pPr>
        <w:pStyle w:val="ListBullet"/>
      </w:pPr>
      <w:r>
        <w:t>A healthy endpoint proves technical access at that moment. It does not prove inventory, provider settlement, legal approval, backup recovery, or launch readiness.</w:t>
      </w:r>
    </w:p>
    <w:p>
      <w:pPr>
        <w:pStyle w:val="ListBullet"/>
      </w:pPr>
      <w:r>
        <w:t>Open an incident when health is unavailable, schema probes fail, documents cannot be retrieved, or state may be incomplete.</w:t>
      </w:r>
    </w:p>
    <w:p>
      <w:pPr>
        <w:pStyle w:val="Heading1"/>
      </w:pPr>
      <w:r>
        <w:t>Database backup and restore rehearsal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64"/>
        <w:gridCol w:w="3264"/>
        <w:gridCol w:w="3264"/>
      </w:tblGrid>
      <w:tr>
        <w:trPr>
          <w:tblHeader w:val="true"/>
        </w:trPr>
        <w:tc>
          <w:tcPr>
            <w:tcW w:type="dxa" w:w="792"/>
            <w:shd w:fill="17365D"/>
            <w:vAlign w:val="center"/>
            <w:tcMar>
              <w:top w:w="100" w:type="dxa"/>
              <w:start w:w="110" w:type="dxa"/>
              <w:bottom w:w="100" w:type="dxa"/>
              <w:end w:w="110" w:type="dxa"/>
            </w:tcMar>
          </w:tcPr>
          <w:p>
            <w:pPr>
              <w:jc w:val="center"/>
            </w:pPr>
            <w:r>
              <w:rPr>
                <w:b/>
                <w:color w:val="FFFFFF"/>
                <w:sz w:val="18"/>
              </w:rPr>
              <w:t>Step</w:t>
            </w:r>
          </w:p>
        </w:tc>
        <w:tc>
          <w:tcPr>
            <w:tcW w:type="dxa" w:w="5256"/>
            <w:shd w:fill="17365D"/>
            <w:vAlign w:val="center"/>
            <w:tcMar>
              <w:top w:w="100" w:type="dxa"/>
              <w:start w:w="110" w:type="dxa"/>
              <w:bottom w:w="100" w:type="dxa"/>
              <w:end w:w="110" w:type="dxa"/>
            </w:tcMar>
          </w:tcPr>
          <w:p>
            <w:pPr>
              <w:jc w:val="center"/>
            </w:pPr>
            <w:r>
              <w:rPr>
                <w:b/>
                <w:color w:val="FFFFFF"/>
                <w:sz w:val="18"/>
              </w:rPr>
              <w:t>Action</w:t>
            </w:r>
          </w:p>
        </w:tc>
        <w:tc>
          <w:tcPr>
            <w:tcW w:type="dxa" w:w="3672"/>
            <w:shd w:fill="17365D"/>
            <w:vAlign w:val="center"/>
            <w:tcMar>
              <w:top w:w="100" w:type="dxa"/>
              <w:start w:w="110" w:type="dxa"/>
              <w:bottom w:w="100" w:type="dxa"/>
              <w:end w:w="110" w:type="dxa"/>
            </w:tcMar>
          </w:tcPr>
          <w:p>
            <w:pPr>
              <w:jc w:val="center"/>
            </w:pPr>
            <w:r>
              <w:rPr>
                <w:b/>
                <w:color w:val="FFFFFF"/>
                <w:sz w:val="18"/>
              </w:rPr>
              <w:t>Expected record</w:t>
            </w:r>
          </w:p>
        </w:tc>
      </w:tr>
      <w:tr>
        <w:trPr>
          <w:cantSplit/>
        </w:trPr>
        <w:tc>
          <w:tcPr>
            <w:tcW w:type="dxa" w:w="792"/>
            <w:vAlign w:val="center"/>
            <w:tcMar>
              <w:top w:w="100" w:type="dxa"/>
              <w:start w:w="110" w:type="dxa"/>
              <w:bottom w:w="100" w:type="dxa"/>
              <w:end w:w="110" w:type="dxa"/>
            </w:tcMar>
          </w:tcPr>
          <w:p>
            <w:pPr>
              <w:jc w:val="center"/>
            </w:pPr>
            <w:r>
              <w:t>1</w:t>
            </w:r>
          </w:p>
        </w:tc>
        <w:tc>
          <w:tcPr>
            <w:tcW w:type="dxa" w:w="5256"/>
            <w:vAlign w:val="center"/>
            <w:tcMar>
              <w:top w:w="100" w:type="dxa"/>
              <w:start w:w="110" w:type="dxa"/>
              <w:bottom w:w="100" w:type="dxa"/>
              <w:end w:w="110" w:type="dxa"/>
            </w:tcMar>
          </w:tcPr>
          <w:p>
            <w:pPr>
              <w:jc w:val="left"/>
            </w:pPr>
            <w:r>
              <w:t>Create a dedicated encrypted backup directory outside the repository.</w:t>
            </w:r>
          </w:p>
        </w:tc>
        <w:tc>
          <w:tcPr>
            <w:tcW w:type="dxa" w:w="3672"/>
            <w:vAlign w:val="center"/>
            <w:tcMar>
              <w:top w:w="100" w:type="dxa"/>
              <w:start w:w="110" w:type="dxa"/>
              <w:bottom w:w="100" w:type="dxa"/>
              <w:end w:w="110" w:type="dxa"/>
            </w:tcMar>
          </w:tcPr>
          <w:p>
            <w:pPr>
              <w:jc w:val="left"/>
            </w:pPr>
            <w:r>
              <w:t>Restricted destination</w:t>
            </w:r>
          </w:p>
        </w:tc>
      </w:tr>
      <w:tr>
        <w:trPr>
          <w:cantSplit/>
        </w:trPr>
        <w:tc>
          <w:tcPr>
            <w:tcW w:type="dxa" w:w="792"/>
            <w:shd w:fill="EFF4F8"/>
            <w:vAlign w:val="center"/>
            <w:tcMar>
              <w:top w:w="100" w:type="dxa"/>
              <w:start w:w="110" w:type="dxa"/>
              <w:bottom w:w="100" w:type="dxa"/>
              <w:end w:w="110" w:type="dxa"/>
            </w:tcMar>
          </w:tcPr>
          <w:p>
            <w:pPr>
              <w:jc w:val="center"/>
            </w:pPr>
            <w:r>
              <w:t>2</w:t>
            </w:r>
          </w:p>
        </w:tc>
        <w:tc>
          <w:tcPr>
            <w:tcW w:type="dxa" w:w="5256"/>
            <w:shd w:fill="EFF4F8"/>
            <w:vAlign w:val="center"/>
            <w:tcMar>
              <w:top w:w="100" w:type="dxa"/>
              <w:start w:w="110" w:type="dxa"/>
              <w:bottom w:w="100" w:type="dxa"/>
              <w:end w:w="110" w:type="dxa"/>
            </w:tcMar>
          </w:tcPr>
          <w:p>
            <w:pPr>
              <w:jc w:val="left"/>
            </w:pPr>
            <w:r>
              <w:t>Run the staging D1 backup script with the absolute directory path.</w:t>
            </w:r>
          </w:p>
        </w:tc>
        <w:tc>
          <w:tcPr>
            <w:tcW w:type="dxa" w:w="3672"/>
            <w:shd w:fill="EFF4F8"/>
            <w:vAlign w:val="center"/>
            <w:tcMar>
              <w:top w:w="100" w:type="dxa"/>
              <w:start w:w="110" w:type="dxa"/>
              <w:bottom w:w="100" w:type="dxa"/>
              <w:end w:w="110" w:type="dxa"/>
            </w:tcMar>
          </w:tcPr>
          <w:p>
            <w:pPr>
              <w:jc w:val="left"/>
            </w:pPr>
            <w:r>
              <w:t>SQL export and checksum manifest</w:t>
            </w:r>
          </w:p>
        </w:tc>
      </w:tr>
      <w:tr>
        <w:trPr>
          <w:cantSplit/>
        </w:trPr>
        <w:tc>
          <w:tcPr>
            <w:tcW w:type="dxa" w:w="792"/>
            <w:vAlign w:val="center"/>
            <w:tcMar>
              <w:top w:w="100" w:type="dxa"/>
              <w:start w:w="110" w:type="dxa"/>
              <w:bottom w:w="100" w:type="dxa"/>
              <w:end w:w="110" w:type="dxa"/>
            </w:tcMar>
          </w:tcPr>
          <w:p>
            <w:pPr>
              <w:jc w:val="center"/>
            </w:pPr>
            <w:r>
              <w:t>3</w:t>
            </w:r>
          </w:p>
        </w:tc>
        <w:tc>
          <w:tcPr>
            <w:tcW w:type="dxa" w:w="5256"/>
            <w:vAlign w:val="center"/>
            <w:tcMar>
              <w:top w:w="100" w:type="dxa"/>
              <w:start w:w="110" w:type="dxa"/>
              <w:bottom w:w="100" w:type="dxa"/>
              <w:end w:w="110" w:type="dxa"/>
            </w:tcMar>
          </w:tcPr>
          <w:p>
            <w:pPr>
              <w:jc w:val="left"/>
            </w:pPr>
            <w:r>
              <w:t>Run the restore verification script against the export.</w:t>
            </w:r>
          </w:p>
        </w:tc>
        <w:tc>
          <w:tcPr>
            <w:tcW w:type="dxa" w:w="3672"/>
            <w:vAlign w:val="center"/>
            <w:tcMar>
              <w:top w:w="100" w:type="dxa"/>
              <w:start w:w="110" w:type="dxa"/>
              <w:bottom w:w="100" w:type="dxa"/>
              <w:end w:w="110" w:type="dxa"/>
            </w:tcMar>
          </w:tcPr>
          <w:p>
            <w:pPr>
              <w:jc w:val="left"/>
            </w:pPr>
            <w:r>
              <w:t>Integrity ok, no foreign key violations, required tables present</w:t>
            </w:r>
          </w:p>
        </w:tc>
      </w:tr>
      <w:tr>
        <w:trPr>
          <w:cantSplit/>
        </w:trPr>
        <w:tc>
          <w:tcPr>
            <w:tcW w:type="dxa" w:w="792"/>
            <w:shd w:fill="EFF4F8"/>
            <w:vAlign w:val="center"/>
            <w:tcMar>
              <w:top w:w="100" w:type="dxa"/>
              <w:start w:w="110" w:type="dxa"/>
              <w:bottom w:w="100" w:type="dxa"/>
              <w:end w:w="110" w:type="dxa"/>
            </w:tcMar>
          </w:tcPr>
          <w:p>
            <w:pPr>
              <w:jc w:val="center"/>
            </w:pPr>
            <w:r>
              <w:t>4</w:t>
            </w:r>
          </w:p>
        </w:tc>
        <w:tc>
          <w:tcPr>
            <w:tcW w:type="dxa" w:w="5256"/>
            <w:shd w:fill="EFF4F8"/>
            <w:vAlign w:val="center"/>
            <w:tcMar>
              <w:top w:w="100" w:type="dxa"/>
              <w:start w:w="110" w:type="dxa"/>
              <w:bottom w:w="100" w:type="dxa"/>
              <w:end w:w="110" w:type="dxa"/>
            </w:tcMar>
          </w:tcPr>
          <w:p>
            <w:pPr>
              <w:jc w:val="left"/>
            </w:pPr>
            <w:r>
              <w:t>Copy the R2 bucket through approved read only S3 credentials to the dated recovery directory and save an object manifest.</w:t>
            </w:r>
          </w:p>
        </w:tc>
        <w:tc>
          <w:tcPr>
            <w:tcW w:type="dxa" w:w="3672"/>
            <w:shd w:fill="EFF4F8"/>
            <w:vAlign w:val="center"/>
            <w:tcMar>
              <w:top w:w="100" w:type="dxa"/>
              <w:start w:w="110" w:type="dxa"/>
              <w:bottom w:w="100" w:type="dxa"/>
              <w:end w:w="110" w:type="dxa"/>
            </w:tcMar>
          </w:tcPr>
          <w:p>
            <w:pPr>
              <w:jc w:val="left"/>
            </w:pPr>
            <w:r>
              <w:t>Complete object copy</w:t>
            </w:r>
          </w:p>
        </w:tc>
      </w:tr>
      <w:tr>
        <w:trPr>
          <w:cantSplit/>
        </w:trPr>
        <w:tc>
          <w:tcPr>
            <w:tcW w:type="dxa" w:w="792"/>
            <w:vAlign w:val="center"/>
            <w:tcMar>
              <w:top w:w="100" w:type="dxa"/>
              <w:start w:w="110" w:type="dxa"/>
              <w:bottom w:w="100" w:type="dxa"/>
              <w:end w:w="110" w:type="dxa"/>
            </w:tcMar>
          </w:tcPr>
          <w:p>
            <w:pPr>
              <w:jc w:val="center"/>
            </w:pPr>
            <w:r>
              <w:t>5</w:t>
            </w:r>
          </w:p>
        </w:tc>
        <w:tc>
          <w:tcPr>
            <w:tcW w:type="dxa" w:w="5256"/>
            <w:vAlign w:val="center"/>
            <w:tcMar>
              <w:top w:w="100" w:type="dxa"/>
              <w:start w:w="110" w:type="dxa"/>
              <w:bottom w:w="100" w:type="dxa"/>
              <w:end w:w="110" w:type="dxa"/>
            </w:tcMar>
          </w:tcPr>
          <w:p>
            <w:pPr>
              <w:jc w:val="left"/>
            </w:pPr>
            <w:r>
              <w:t>Restore to a new isolated rehearsal bucket and compare count, bytes, and representative object checksums.</w:t>
            </w:r>
          </w:p>
        </w:tc>
        <w:tc>
          <w:tcPr>
            <w:tcW w:type="dxa" w:w="3672"/>
            <w:vAlign w:val="center"/>
            <w:tcMar>
              <w:top w:w="100" w:type="dxa"/>
              <w:start w:w="110" w:type="dxa"/>
              <w:bottom w:w="100" w:type="dxa"/>
              <w:end w:w="110" w:type="dxa"/>
            </w:tcMar>
          </w:tcPr>
          <w:p>
            <w:pPr>
              <w:jc w:val="left"/>
            </w:pPr>
            <w:r>
              <w:t>R2 recovery evidence</w:t>
            </w:r>
          </w:p>
        </w:tc>
      </w:tr>
      <w:tr>
        <w:trPr>
          <w:cantSplit/>
        </w:trPr>
        <w:tc>
          <w:tcPr>
            <w:tcW w:type="dxa" w:w="792"/>
            <w:shd w:fill="EFF4F8"/>
            <w:vAlign w:val="center"/>
            <w:tcMar>
              <w:top w:w="100" w:type="dxa"/>
              <w:start w:w="110" w:type="dxa"/>
              <w:bottom w:w="100" w:type="dxa"/>
              <w:end w:w="110" w:type="dxa"/>
            </w:tcMar>
          </w:tcPr>
          <w:p>
            <w:pPr>
              <w:jc w:val="center"/>
            </w:pPr>
            <w:r>
              <w:t>6</w:t>
            </w:r>
          </w:p>
        </w:tc>
        <w:tc>
          <w:tcPr>
            <w:tcW w:type="dxa" w:w="5256"/>
            <w:shd w:fill="EFF4F8"/>
            <w:vAlign w:val="center"/>
            <w:tcMar>
              <w:top w:w="100" w:type="dxa"/>
              <w:start w:w="110" w:type="dxa"/>
              <w:bottom w:w="100" w:type="dxa"/>
              <w:end w:w="110" w:type="dxa"/>
            </w:tcMar>
          </w:tcPr>
          <w:p>
            <w:pPr>
              <w:jc w:val="left"/>
            </w:pPr>
            <w:r>
              <w:t>Verify authorized and unauthorized document retrieval against disposable isolated bindings.</w:t>
            </w:r>
          </w:p>
        </w:tc>
        <w:tc>
          <w:tcPr>
            <w:tcW w:type="dxa" w:w="3672"/>
            <w:shd w:fill="EFF4F8"/>
            <w:vAlign w:val="center"/>
            <w:tcMar>
              <w:top w:w="100" w:type="dxa"/>
              <w:start w:w="110" w:type="dxa"/>
              <w:bottom w:w="100" w:type="dxa"/>
              <w:end w:w="110" w:type="dxa"/>
            </w:tcMar>
          </w:tcPr>
          <w:p>
            <w:pPr>
              <w:jc w:val="left"/>
            </w:pPr>
            <w:r>
              <w:t>Access behavior evidence</w:t>
            </w:r>
          </w:p>
        </w:tc>
      </w:tr>
      <w:tr>
        <w:trPr>
          <w:cantSplit/>
        </w:trPr>
        <w:tc>
          <w:tcPr>
            <w:tcW w:type="dxa" w:w="792"/>
            <w:vAlign w:val="center"/>
            <w:tcMar>
              <w:top w:w="100" w:type="dxa"/>
              <w:start w:w="110" w:type="dxa"/>
              <w:bottom w:w="100" w:type="dxa"/>
              <w:end w:w="110" w:type="dxa"/>
            </w:tcMar>
          </w:tcPr>
          <w:p>
            <w:pPr>
              <w:jc w:val="center"/>
            </w:pPr>
            <w:r>
              <w:t>7</w:t>
            </w:r>
          </w:p>
        </w:tc>
        <w:tc>
          <w:tcPr>
            <w:tcW w:type="dxa" w:w="5256"/>
            <w:vAlign w:val="center"/>
            <w:tcMar>
              <w:top w:w="100" w:type="dxa"/>
              <w:start w:w="110" w:type="dxa"/>
              <w:bottom w:w="100" w:type="dxa"/>
              <w:end w:w="110" w:type="dxa"/>
            </w:tcMar>
          </w:tcPr>
          <w:p>
            <w:pPr>
              <w:jc w:val="left"/>
            </w:pPr>
            <w:r>
              <w:t>Record elapsed time, results, reviewer, exceptions, and the next rehearsal date in Operating Controls.</w:t>
            </w:r>
          </w:p>
        </w:tc>
        <w:tc>
          <w:tcPr>
            <w:tcW w:type="dxa" w:w="3672"/>
            <w:vAlign w:val="center"/>
            <w:tcMar>
              <w:top w:w="100" w:type="dxa"/>
              <w:start w:w="110" w:type="dxa"/>
              <w:bottom w:w="100" w:type="dxa"/>
              <w:end w:w="110" w:type="dxa"/>
            </w:tcMar>
          </w:tcPr>
          <w:p>
            <w:pPr>
              <w:jc w:val="left"/>
            </w:pPr>
            <w:r>
              <w:t>Reviewed continuity control</w:t>
            </w:r>
          </w:p>
        </w:tc>
      </w:tr>
    </w:tbl>
    <w:p>
      <w:pPr>
        <w:spacing w:after="20"/>
      </w:pPr>
    </w:p>
    <w:p>
      <w:r>
        <w:t>Use node scripts d1 backup with staging and the private output directory. Production export requires the explicit production confirmation environment value and an approved maintenance window. A rehearsal must never import into the source database or overwrite the source bucket.</w:t>
      </w:r>
    </w:p>
    <w:p>
      <w:pPr>
        <w:pStyle w:val="Heading1"/>
      </w:pPr>
      <w:r>
        <w:t>Incident response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64"/>
        <w:gridCol w:w="3264"/>
        <w:gridCol w:w="3264"/>
      </w:tblGrid>
      <w:tr>
        <w:trPr>
          <w:tblHeader w:val="true"/>
        </w:trPr>
        <w:tc>
          <w:tcPr>
            <w:tcW w:type="dxa" w:w="792"/>
            <w:shd w:fill="17365D"/>
            <w:vAlign w:val="center"/>
            <w:tcMar>
              <w:top w:w="100" w:type="dxa"/>
              <w:start w:w="110" w:type="dxa"/>
              <w:bottom w:w="100" w:type="dxa"/>
              <w:end w:w="110" w:type="dxa"/>
            </w:tcMar>
          </w:tcPr>
          <w:p>
            <w:pPr>
              <w:jc w:val="center"/>
            </w:pPr>
            <w:r>
              <w:rPr>
                <w:b/>
                <w:color w:val="FFFFFF"/>
                <w:sz w:val="18"/>
              </w:rPr>
              <w:t>Step</w:t>
            </w:r>
          </w:p>
        </w:tc>
        <w:tc>
          <w:tcPr>
            <w:tcW w:type="dxa" w:w="5256"/>
            <w:shd w:fill="17365D"/>
            <w:vAlign w:val="center"/>
            <w:tcMar>
              <w:top w:w="100" w:type="dxa"/>
              <w:start w:w="110" w:type="dxa"/>
              <w:bottom w:w="100" w:type="dxa"/>
              <w:end w:w="110" w:type="dxa"/>
            </w:tcMar>
          </w:tcPr>
          <w:p>
            <w:pPr>
              <w:jc w:val="center"/>
            </w:pPr>
            <w:r>
              <w:rPr>
                <w:b/>
                <w:color w:val="FFFFFF"/>
                <w:sz w:val="18"/>
              </w:rPr>
              <w:t>Action</w:t>
            </w:r>
          </w:p>
        </w:tc>
        <w:tc>
          <w:tcPr>
            <w:tcW w:type="dxa" w:w="3672"/>
            <w:shd w:fill="17365D"/>
            <w:vAlign w:val="center"/>
            <w:tcMar>
              <w:top w:w="100" w:type="dxa"/>
              <w:start w:w="110" w:type="dxa"/>
              <w:bottom w:w="100" w:type="dxa"/>
              <w:end w:w="110" w:type="dxa"/>
            </w:tcMar>
          </w:tcPr>
          <w:p>
            <w:pPr>
              <w:jc w:val="center"/>
            </w:pPr>
            <w:r>
              <w:rPr>
                <w:b/>
                <w:color w:val="FFFFFF"/>
                <w:sz w:val="18"/>
              </w:rPr>
              <w:t>Expected record</w:t>
            </w:r>
          </w:p>
        </w:tc>
      </w:tr>
      <w:tr>
        <w:trPr>
          <w:cantSplit/>
        </w:trPr>
        <w:tc>
          <w:tcPr>
            <w:tcW w:type="dxa" w:w="792"/>
            <w:vAlign w:val="center"/>
            <w:tcMar>
              <w:top w:w="100" w:type="dxa"/>
              <w:start w:w="110" w:type="dxa"/>
              <w:bottom w:w="100" w:type="dxa"/>
              <w:end w:w="110" w:type="dxa"/>
            </w:tcMar>
          </w:tcPr>
          <w:p>
            <w:pPr>
              <w:jc w:val="center"/>
            </w:pPr>
            <w:r>
              <w:t>1</w:t>
            </w:r>
          </w:p>
        </w:tc>
        <w:tc>
          <w:tcPr>
            <w:tcW w:type="dxa" w:w="5256"/>
            <w:vAlign w:val="center"/>
            <w:tcMar>
              <w:top w:w="100" w:type="dxa"/>
              <w:start w:w="110" w:type="dxa"/>
              <w:bottom w:w="100" w:type="dxa"/>
              <w:end w:w="110" w:type="dxa"/>
            </w:tcMar>
          </w:tcPr>
          <w:p>
            <w:pPr>
              <w:jc w:val="left"/>
            </w:pPr>
            <w:r>
              <w:t>Confirm the signal and open an incident case with severity, owner, due date, and known systems or records.</w:t>
            </w:r>
          </w:p>
        </w:tc>
        <w:tc>
          <w:tcPr>
            <w:tcW w:type="dxa" w:w="3672"/>
            <w:vAlign w:val="center"/>
            <w:tcMar>
              <w:top w:w="100" w:type="dxa"/>
              <w:start w:w="110" w:type="dxa"/>
              <w:bottom w:w="100" w:type="dxa"/>
              <w:end w:w="110" w:type="dxa"/>
            </w:tcMar>
          </w:tcPr>
          <w:p>
            <w:pPr>
              <w:jc w:val="left"/>
            </w:pPr>
            <w:r>
              <w:t>Incident case</w:t>
            </w:r>
          </w:p>
        </w:tc>
      </w:tr>
      <w:tr>
        <w:trPr>
          <w:cantSplit/>
        </w:trPr>
        <w:tc>
          <w:tcPr>
            <w:tcW w:type="dxa" w:w="792"/>
            <w:shd w:fill="EFF4F8"/>
            <w:vAlign w:val="center"/>
            <w:tcMar>
              <w:top w:w="100" w:type="dxa"/>
              <w:start w:w="110" w:type="dxa"/>
              <w:bottom w:w="100" w:type="dxa"/>
              <w:end w:w="110" w:type="dxa"/>
            </w:tcMar>
          </w:tcPr>
          <w:p>
            <w:pPr>
              <w:jc w:val="center"/>
            </w:pPr>
            <w:r>
              <w:t>2</w:t>
            </w:r>
          </w:p>
        </w:tc>
        <w:tc>
          <w:tcPr>
            <w:tcW w:type="dxa" w:w="5256"/>
            <w:shd w:fill="EFF4F8"/>
            <w:vAlign w:val="center"/>
            <w:tcMar>
              <w:top w:w="100" w:type="dxa"/>
              <w:start w:w="110" w:type="dxa"/>
              <w:bottom w:w="100" w:type="dxa"/>
              <w:end w:w="110" w:type="dxa"/>
            </w:tcMar>
          </w:tcPr>
          <w:p>
            <w:pPr>
              <w:jc w:val="left"/>
            </w:pPr>
            <w:r>
              <w:t>Contain high or critical impact. Stop affected provider, deployment, shipment, release, or customer action when needed.</w:t>
            </w:r>
          </w:p>
        </w:tc>
        <w:tc>
          <w:tcPr>
            <w:tcW w:type="dxa" w:w="3672"/>
            <w:shd w:fill="EFF4F8"/>
            <w:vAlign w:val="center"/>
            <w:tcMar>
              <w:top w:w="100" w:type="dxa"/>
              <w:start w:w="110" w:type="dxa"/>
              <w:bottom w:w="100" w:type="dxa"/>
              <w:end w:w="110" w:type="dxa"/>
            </w:tcMar>
          </w:tcPr>
          <w:p>
            <w:pPr>
              <w:jc w:val="left"/>
            </w:pPr>
            <w:r>
              <w:t>Containment record</w:t>
            </w:r>
          </w:p>
        </w:tc>
      </w:tr>
      <w:tr>
        <w:trPr>
          <w:cantSplit/>
        </w:trPr>
        <w:tc>
          <w:tcPr>
            <w:tcW w:type="dxa" w:w="792"/>
            <w:vAlign w:val="center"/>
            <w:tcMar>
              <w:top w:w="100" w:type="dxa"/>
              <w:start w:w="110" w:type="dxa"/>
              <w:bottom w:w="100" w:type="dxa"/>
              <w:end w:w="110" w:type="dxa"/>
            </w:tcMar>
          </w:tcPr>
          <w:p>
            <w:pPr>
              <w:jc w:val="center"/>
            </w:pPr>
            <w:r>
              <w:t>3</w:t>
            </w:r>
          </w:p>
        </w:tc>
        <w:tc>
          <w:tcPr>
            <w:tcW w:type="dxa" w:w="5256"/>
            <w:vAlign w:val="center"/>
            <w:tcMar>
              <w:top w:w="100" w:type="dxa"/>
              <w:start w:w="110" w:type="dxa"/>
              <w:bottom w:w="100" w:type="dxa"/>
              <w:end w:w="110" w:type="dxa"/>
            </w:tcMar>
          </w:tcPr>
          <w:p>
            <w:pPr>
              <w:jc w:val="left"/>
            </w:pPr>
            <w:r>
              <w:t>Preserve logs, timestamps, configuration identifiers, checksums, and affected record numbers without copying secrets into the case.</w:t>
            </w:r>
          </w:p>
        </w:tc>
        <w:tc>
          <w:tcPr>
            <w:tcW w:type="dxa" w:w="3672"/>
            <w:vAlign w:val="center"/>
            <w:tcMar>
              <w:top w:w="100" w:type="dxa"/>
              <w:start w:w="110" w:type="dxa"/>
              <w:bottom w:w="100" w:type="dxa"/>
              <w:end w:w="110" w:type="dxa"/>
            </w:tcMar>
          </w:tcPr>
          <w:p>
            <w:pPr>
              <w:jc w:val="left"/>
            </w:pPr>
            <w:r>
              <w:t>Evidence link</w:t>
            </w:r>
          </w:p>
        </w:tc>
      </w:tr>
      <w:tr>
        <w:trPr>
          <w:cantSplit/>
        </w:trPr>
        <w:tc>
          <w:tcPr>
            <w:tcW w:type="dxa" w:w="792"/>
            <w:shd w:fill="EFF4F8"/>
            <w:vAlign w:val="center"/>
            <w:tcMar>
              <w:top w:w="100" w:type="dxa"/>
              <w:start w:w="110" w:type="dxa"/>
              <w:bottom w:w="100" w:type="dxa"/>
              <w:end w:w="110" w:type="dxa"/>
            </w:tcMar>
          </w:tcPr>
          <w:p>
            <w:pPr>
              <w:jc w:val="center"/>
            </w:pPr>
            <w:r>
              <w:t>4</w:t>
            </w:r>
          </w:p>
        </w:tc>
        <w:tc>
          <w:tcPr>
            <w:tcW w:type="dxa" w:w="5256"/>
            <w:shd w:fill="EFF4F8"/>
            <w:vAlign w:val="center"/>
            <w:tcMar>
              <w:top w:w="100" w:type="dxa"/>
              <w:start w:w="110" w:type="dxa"/>
              <w:bottom w:w="100" w:type="dxa"/>
              <w:end w:w="110" w:type="dxa"/>
            </w:tcMar>
          </w:tcPr>
          <w:p>
            <w:pPr>
              <w:jc w:val="left"/>
            </w:pPr>
            <w:r>
              <w:t>Notify authorized operations, quality, commercial, legal, or privacy owners according to impact.</w:t>
            </w:r>
          </w:p>
        </w:tc>
        <w:tc>
          <w:tcPr>
            <w:tcW w:type="dxa" w:w="3672"/>
            <w:shd w:fill="EFF4F8"/>
            <w:vAlign w:val="center"/>
            <w:tcMar>
              <w:top w:w="100" w:type="dxa"/>
              <w:start w:w="110" w:type="dxa"/>
              <w:bottom w:w="100" w:type="dxa"/>
              <w:end w:w="110" w:type="dxa"/>
            </w:tcMar>
          </w:tcPr>
          <w:p>
            <w:pPr>
              <w:jc w:val="left"/>
            </w:pPr>
            <w:r>
              <w:t>Communication history</w:t>
            </w:r>
          </w:p>
        </w:tc>
      </w:tr>
      <w:tr>
        <w:trPr>
          <w:cantSplit/>
        </w:trPr>
        <w:tc>
          <w:tcPr>
            <w:tcW w:type="dxa" w:w="792"/>
            <w:vAlign w:val="center"/>
            <w:tcMar>
              <w:top w:w="100" w:type="dxa"/>
              <w:start w:w="110" w:type="dxa"/>
              <w:bottom w:w="100" w:type="dxa"/>
              <w:end w:w="110" w:type="dxa"/>
            </w:tcMar>
          </w:tcPr>
          <w:p>
            <w:pPr>
              <w:jc w:val="center"/>
            </w:pPr>
            <w:r>
              <w:t>5</w:t>
            </w:r>
          </w:p>
        </w:tc>
        <w:tc>
          <w:tcPr>
            <w:tcW w:type="dxa" w:w="5256"/>
            <w:vAlign w:val="center"/>
            <w:tcMar>
              <w:top w:w="100" w:type="dxa"/>
              <w:start w:w="110" w:type="dxa"/>
              <w:bottom w:w="100" w:type="dxa"/>
              <w:end w:w="110" w:type="dxa"/>
            </w:tcMar>
          </w:tcPr>
          <w:p>
            <w:pPr>
              <w:jc w:val="left"/>
            </w:pPr>
            <w:r>
              <w:t>Recover through the approved rollback, provider recovery, or isolated restore path. Verify data and access before reopening service.</w:t>
            </w:r>
          </w:p>
        </w:tc>
        <w:tc>
          <w:tcPr>
            <w:tcW w:type="dxa" w:w="3672"/>
            <w:vAlign w:val="center"/>
            <w:tcMar>
              <w:top w:w="100" w:type="dxa"/>
              <w:start w:w="110" w:type="dxa"/>
              <w:bottom w:w="100" w:type="dxa"/>
              <w:end w:w="110" w:type="dxa"/>
            </w:tcMar>
          </w:tcPr>
          <w:p>
            <w:pPr>
              <w:jc w:val="left"/>
            </w:pPr>
            <w:r>
              <w:t>Recovery evidence</w:t>
            </w:r>
          </w:p>
        </w:tc>
      </w:tr>
      <w:tr>
        <w:trPr>
          <w:cantSplit/>
        </w:trPr>
        <w:tc>
          <w:tcPr>
            <w:tcW w:type="dxa" w:w="792"/>
            <w:shd w:fill="EFF4F8"/>
            <w:vAlign w:val="center"/>
            <w:tcMar>
              <w:top w:w="100" w:type="dxa"/>
              <w:start w:w="110" w:type="dxa"/>
              <w:bottom w:w="100" w:type="dxa"/>
              <w:end w:w="110" w:type="dxa"/>
            </w:tcMar>
          </w:tcPr>
          <w:p>
            <w:pPr>
              <w:jc w:val="center"/>
            </w:pPr>
            <w:r>
              <w:t>6</w:t>
            </w:r>
          </w:p>
        </w:tc>
        <w:tc>
          <w:tcPr>
            <w:tcW w:type="dxa" w:w="5256"/>
            <w:shd w:fill="EFF4F8"/>
            <w:vAlign w:val="center"/>
            <w:tcMar>
              <w:top w:w="100" w:type="dxa"/>
              <w:start w:w="110" w:type="dxa"/>
              <w:bottom w:w="100" w:type="dxa"/>
              <w:end w:w="110" w:type="dxa"/>
            </w:tcMar>
          </w:tcPr>
          <w:p>
            <w:pPr>
              <w:jc w:val="left"/>
            </w:pPr>
            <w:r>
              <w:t>Record root cause, corrective and preventive actions, then perform an effectiveness check.</w:t>
            </w:r>
          </w:p>
        </w:tc>
        <w:tc>
          <w:tcPr>
            <w:tcW w:type="dxa" w:w="3672"/>
            <w:shd w:fill="EFF4F8"/>
            <w:vAlign w:val="center"/>
            <w:tcMar>
              <w:top w:w="100" w:type="dxa"/>
              <w:start w:w="110" w:type="dxa"/>
              <w:bottom w:w="100" w:type="dxa"/>
              <w:end w:w="110" w:type="dxa"/>
            </w:tcMar>
          </w:tcPr>
          <w:p>
            <w:pPr>
              <w:jc w:val="left"/>
            </w:pPr>
            <w:r>
              <w:t>CAPA record</w:t>
            </w:r>
          </w:p>
        </w:tc>
      </w:tr>
      <w:tr>
        <w:trPr>
          <w:cantSplit/>
        </w:trPr>
        <w:tc>
          <w:tcPr>
            <w:tcW w:type="dxa" w:w="792"/>
            <w:vAlign w:val="center"/>
            <w:tcMar>
              <w:top w:w="100" w:type="dxa"/>
              <w:start w:w="110" w:type="dxa"/>
              <w:bottom w:w="100" w:type="dxa"/>
              <w:end w:w="110" w:type="dxa"/>
            </w:tcMar>
          </w:tcPr>
          <w:p>
            <w:pPr>
              <w:jc w:val="center"/>
            </w:pPr>
            <w:r>
              <w:t>7</w:t>
            </w:r>
          </w:p>
        </w:tc>
        <w:tc>
          <w:tcPr>
            <w:tcW w:type="dxa" w:w="5256"/>
            <w:vAlign w:val="center"/>
            <w:tcMar>
              <w:top w:w="100" w:type="dxa"/>
              <w:start w:w="110" w:type="dxa"/>
              <w:bottom w:w="100" w:type="dxa"/>
              <w:end w:w="110" w:type="dxa"/>
            </w:tcMar>
          </w:tcPr>
          <w:p>
            <w:pPr>
              <w:jc w:val="left"/>
            </w:pPr>
            <w:r>
              <w:t>Administrator reviews closure. Update controls, monitoring, tests, and manuals when the corrective action changes operation.</w:t>
            </w:r>
          </w:p>
        </w:tc>
        <w:tc>
          <w:tcPr>
            <w:tcW w:type="dxa" w:w="3672"/>
            <w:vAlign w:val="center"/>
            <w:tcMar>
              <w:top w:w="100" w:type="dxa"/>
              <w:start w:w="110" w:type="dxa"/>
              <w:bottom w:w="100" w:type="dxa"/>
              <w:end w:w="110" w:type="dxa"/>
            </w:tcMar>
          </w:tcPr>
          <w:p>
            <w:pPr>
              <w:jc w:val="left"/>
            </w:pPr>
            <w:r>
              <w:t>Closed incident and controlled revision</w:t>
            </w:r>
          </w:p>
        </w:tc>
      </w:tr>
    </w:tbl>
    <w:p>
      <w:pPr>
        <w:spacing w:after="20"/>
      </w:pPr>
    </w:p>
    <w:p>
      <w:pPr>
        <w:pStyle w:val="Heading1"/>
      </w:pPr>
      <w:r>
        <w:t>Release rehearsal</w:t>
      </w:r>
    </w:p>
    <w:p>
      <w:r>
        <w:t>Run the named team through supplier qualification, PO, receipt, quarantine, testing, release, inventory movement, catalog, checkout, payment, order ownership, pick and pack, USPS UPS and FedEx comparison, label, shipment, delivery evidence, notification, return, refund, period reports, close, backup, and one operational case. Inject one failure at each provider boundary and record recovery.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96"/>
        <w:gridCol w:w="4896"/>
      </w:tblGrid>
      <w:tr>
        <w:trPr>
          <w:tblHeader w:val="true"/>
        </w:trPr>
        <w:tc>
          <w:tcPr>
            <w:tcW w:type="dxa" w:w="4752"/>
            <w:shd w:fill="17365D"/>
            <w:vAlign w:val="center"/>
            <w:tcMar>
              <w:top w:w="100" w:type="dxa"/>
              <w:start w:w="110" w:type="dxa"/>
              <w:bottom w:w="100" w:type="dxa"/>
              <w:end w:w="110" w:type="dxa"/>
            </w:tcMar>
          </w:tcPr>
          <w:p>
            <w:pPr>
              <w:jc w:val="center"/>
            </w:pPr>
            <w:r>
              <w:rPr>
                <w:b/>
                <w:color w:val="FFFFFF"/>
                <w:sz w:val="18"/>
              </w:rPr>
              <w:t>Acceptance</w:t>
            </w:r>
          </w:p>
        </w:tc>
        <w:tc>
          <w:tcPr>
            <w:tcW w:type="dxa" w:w="4968"/>
            <w:shd w:fill="17365D"/>
            <w:vAlign w:val="center"/>
            <w:tcMar>
              <w:top w:w="100" w:type="dxa"/>
              <w:start w:w="110" w:type="dxa"/>
              <w:bottom w:w="100" w:type="dxa"/>
              <w:end w:w="110" w:type="dxa"/>
            </w:tcMar>
          </w:tcPr>
          <w:p>
            <w:pPr>
              <w:jc w:val="center"/>
            </w:pPr>
            <w:r>
              <w:rPr>
                <w:b/>
                <w:color w:val="FFFFFF"/>
                <w:sz w:val="18"/>
              </w:rPr>
              <w:t>Evidence</w:t>
            </w:r>
          </w:p>
        </w:tc>
      </w:tr>
      <w:tr>
        <w:trPr>
          <w:cantSplit/>
        </w:trPr>
        <w:tc>
          <w:tcPr>
            <w:tcW w:type="dxa" w:w="4752"/>
            <w:vAlign w:val="center"/>
            <w:tcMar>
              <w:top w:w="100" w:type="dxa"/>
              <w:start w:w="110" w:type="dxa"/>
              <w:bottom w:w="100" w:type="dxa"/>
              <w:end w:w="110" w:type="dxa"/>
            </w:tcMar>
          </w:tcPr>
          <w:p>
            <w:pPr>
              <w:jc w:val="left"/>
            </w:pPr>
            <w:r>
              <w:t>All automated checks pass</w:t>
            </w:r>
          </w:p>
        </w:tc>
        <w:tc>
          <w:tcPr>
            <w:tcW w:type="dxa" w:w="4968"/>
            <w:vAlign w:val="center"/>
            <w:tcMar>
              <w:top w:w="100" w:type="dxa"/>
              <w:start w:w="110" w:type="dxa"/>
              <w:bottom w:w="100" w:type="dxa"/>
              <w:end w:w="110" w:type="dxa"/>
            </w:tcMar>
          </w:tcPr>
          <w:p>
            <w:pPr>
              <w:jc w:val="left"/>
            </w:pPr>
            <w:r>
              <w:t>Type check, lint, full tests, build, migration replay</w:t>
            </w:r>
          </w:p>
        </w:tc>
      </w:tr>
      <w:tr>
        <w:trPr>
          <w:cantSplit/>
        </w:trPr>
        <w:tc>
          <w:tcPr>
            <w:tcW w:type="dxa" w:w="4752"/>
            <w:shd w:fill="EFF4F8"/>
            <w:vAlign w:val="center"/>
            <w:tcMar>
              <w:top w:w="100" w:type="dxa"/>
              <w:start w:w="110" w:type="dxa"/>
              <w:bottom w:w="100" w:type="dxa"/>
              <w:end w:w="110" w:type="dxa"/>
            </w:tcMar>
          </w:tcPr>
          <w:p>
            <w:pPr>
              <w:jc w:val="left"/>
            </w:pPr>
            <w:r>
              <w:t>No unresolved priority zero defect</w:t>
            </w:r>
          </w:p>
        </w:tc>
        <w:tc>
          <w:tcPr>
            <w:tcW w:type="dxa" w:w="4968"/>
            <w:shd w:fill="EFF4F8"/>
            <w:vAlign w:val="center"/>
            <w:tcMar>
              <w:top w:w="100" w:type="dxa"/>
              <w:start w:w="110" w:type="dxa"/>
              <w:bottom w:w="100" w:type="dxa"/>
              <w:end w:w="110" w:type="dxa"/>
            </w:tcMar>
          </w:tcPr>
          <w:p>
            <w:pPr>
              <w:jc w:val="center"/>
            </w:pPr>
            <w:r>
              <w:t>Defect and case review</w:t>
            </w:r>
          </w:p>
        </w:tc>
      </w:tr>
      <w:tr>
        <w:trPr>
          <w:cantSplit/>
        </w:trPr>
        <w:tc>
          <w:tcPr>
            <w:tcW w:type="dxa" w:w="4752"/>
            <w:vAlign w:val="center"/>
            <w:tcMar>
              <w:top w:w="100" w:type="dxa"/>
              <w:start w:w="110" w:type="dxa"/>
              <w:bottom w:w="100" w:type="dxa"/>
              <w:end w:w="110" w:type="dxa"/>
            </w:tcMar>
          </w:tcPr>
          <w:p>
            <w:pPr>
              <w:jc w:val="left"/>
            </w:pPr>
            <w:r>
              <w:t>Every launch critical control reviewed</w:t>
            </w:r>
          </w:p>
        </w:tc>
        <w:tc>
          <w:tcPr>
            <w:tcW w:type="dxa" w:w="4968"/>
            <w:vAlign w:val="center"/>
            <w:tcMar>
              <w:top w:w="100" w:type="dxa"/>
              <w:start w:w="110" w:type="dxa"/>
              <w:bottom w:w="100" w:type="dxa"/>
              <w:end w:w="110" w:type="dxa"/>
            </w:tcMar>
          </w:tcPr>
          <w:p>
            <w:pPr>
              <w:jc w:val="left"/>
            </w:pPr>
            <w:r>
              <w:t>Operating Controls export or screenshots and evidence links</w:t>
            </w:r>
          </w:p>
        </w:tc>
      </w:tr>
      <w:tr>
        <w:trPr>
          <w:cantSplit/>
        </w:trPr>
        <w:tc>
          <w:tcPr>
            <w:tcW w:type="dxa" w:w="4752"/>
            <w:shd w:fill="EFF4F8"/>
            <w:vAlign w:val="center"/>
            <w:tcMar>
              <w:top w:w="100" w:type="dxa"/>
              <w:start w:w="110" w:type="dxa"/>
              <w:bottom w:w="100" w:type="dxa"/>
              <w:end w:w="110" w:type="dxa"/>
            </w:tcMar>
          </w:tcPr>
          <w:p>
            <w:pPr>
              <w:jc w:val="left"/>
            </w:pPr>
            <w:r>
              <w:t>Recovery completes within approved targets</w:t>
            </w:r>
          </w:p>
        </w:tc>
        <w:tc>
          <w:tcPr>
            <w:tcW w:type="dxa" w:w="4968"/>
            <w:shd w:fill="EFF4F8"/>
            <w:vAlign w:val="center"/>
            <w:tcMar>
              <w:top w:w="100" w:type="dxa"/>
              <w:start w:w="110" w:type="dxa"/>
              <w:bottom w:w="100" w:type="dxa"/>
              <w:end w:w="110" w:type="dxa"/>
            </w:tcMar>
          </w:tcPr>
          <w:p>
            <w:pPr>
              <w:jc w:val="left"/>
            </w:pPr>
            <w:r>
              <w:t>D1 and R2 restore evidence with elapsed time</w:t>
            </w:r>
          </w:p>
        </w:tc>
      </w:tr>
      <w:tr>
        <w:trPr>
          <w:cantSplit/>
        </w:trPr>
        <w:tc>
          <w:tcPr>
            <w:tcW w:type="dxa" w:w="4752"/>
            <w:vAlign w:val="center"/>
            <w:tcMar>
              <w:top w:w="100" w:type="dxa"/>
              <w:start w:w="110" w:type="dxa"/>
              <w:bottom w:w="100" w:type="dxa"/>
              <w:end w:w="110" w:type="dxa"/>
            </w:tcMar>
          </w:tcPr>
          <w:p>
            <w:pPr>
              <w:jc w:val="left"/>
            </w:pPr>
            <w:r>
              <w:t>Named operators complete procedures</w:t>
            </w:r>
          </w:p>
        </w:tc>
        <w:tc>
          <w:tcPr>
            <w:tcW w:type="dxa" w:w="4968"/>
            <w:vAlign w:val="center"/>
            <w:tcMar>
              <w:top w:w="100" w:type="dxa"/>
              <w:start w:w="110" w:type="dxa"/>
              <w:bottom w:w="100" w:type="dxa"/>
              <w:end w:w="110" w:type="dxa"/>
            </w:tcMar>
          </w:tcPr>
          <w:p>
            <w:pPr>
              <w:jc w:val="left"/>
            </w:pPr>
            <w:r>
              <w:t>Training and walkthrough records</w:t>
            </w:r>
          </w:p>
        </w:tc>
      </w:tr>
      <w:tr>
        <w:trPr>
          <w:cantSplit/>
        </w:trPr>
        <w:tc>
          <w:tcPr>
            <w:tcW w:type="dxa" w:w="4752"/>
            <w:shd w:fill="EFF4F8"/>
            <w:vAlign w:val="center"/>
            <w:tcMar>
              <w:top w:w="100" w:type="dxa"/>
              <w:start w:w="110" w:type="dxa"/>
              <w:bottom w:w="100" w:type="dxa"/>
              <w:end w:w="110" w:type="dxa"/>
            </w:tcMar>
          </w:tcPr>
          <w:p>
            <w:pPr>
              <w:jc w:val="left"/>
            </w:pPr>
            <w:r>
              <w:t>Authorized members approve launch</w:t>
            </w:r>
          </w:p>
        </w:tc>
        <w:tc>
          <w:tcPr>
            <w:tcW w:type="dxa" w:w="4968"/>
            <w:shd w:fill="EFF4F8"/>
            <w:vAlign w:val="center"/>
            <w:tcMar>
              <w:top w:w="100" w:type="dxa"/>
              <w:start w:w="110" w:type="dxa"/>
              <w:bottom w:w="100" w:type="dxa"/>
              <w:end w:w="110" w:type="dxa"/>
            </w:tcMar>
          </w:tcPr>
          <w:p>
            <w:pPr>
              <w:jc w:val="left"/>
            </w:pPr>
            <w:r>
              <w:t>Signed decision with scope and residual risks</w:t>
            </w:r>
          </w:p>
        </w:tc>
      </w:tr>
    </w:tbl>
    <w:p>
      <w:pPr>
        <w:spacing w:after="20"/>
      </w:pPr>
    </w:p>
    <w:p>
      <w:pPr>
        <w:pStyle w:val="Heading1"/>
      </w:pPr>
      <w:r>
        <w:t>References</w:t>
      </w:r>
    </w:p>
    <w:p>
      <w:pPr>
        <w:pStyle w:val="ListBullet"/>
      </w:pPr>
      <w:r>
        <w:t>Cloudflare D1 import and export data  https://developers.cloudflare.com/d1/best-practices/import-export-data/</w:t>
      </w:r>
    </w:p>
    <w:p>
      <w:pPr>
        <w:pStyle w:val="ListBullet"/>
      </w:pPr>
      <w:r>
        <w:t>Cloudflare D1 Time Travel  https://developers.cloudflare.com/d1/reference/time-travel/</w:t>
      </w:r>
    </w:p>
    <w:p>
      <w:pPr>
        <w:pStyle w:val="ListBullet"/>
      </w:pPr>
      <w:r>
        <w:t>Cloudflare R2 download objects  https://developers.cloudflare.com/r2/objects/download-objects/</w:t>
      </w:r>
    </w:p>
    <w:p>
      <w:pPr>
        <w:pStyle w:val="ListBullet"/>
      </w:pPr>
      <w:r>
        <w:t>Shippo carrier accounts and rates  https://docs.goshippo.com/api-reference/carrier-accounts/list-all-carrier-accounts</w:t>
      </w:r>
    </w:p>
    <w:p>
      <w:pPr>
        <w:pStyle w:val="ListBullet"/>
      </w:pPr>
      <w:r>
        <w:t>Shippo service levels  https://docs.goshippo.com/api-reference/service-levels</w:t>
      </w:r>
    </w:p>
    <w:p>
      <w:pPr>
        <w:pStyle w:val="ListBullet"/>
      </w:pPr>
      <w:r>
        <w:t>Shippo create a refund  https://docs.goshippo.com/api-reference/refunds/create-a-refund</w:t>
      </w:r>
    </w:p>
    <w:p>
      <w:pPr>
        <w:pStyle w:val="ListBullet"/>
      </w:pPr>
      <w:r>
        <w:t>Shippo list all refunds  https://docs.goshippo.com/api-reference/refunds/list-all-refunds</w:t>
      </w:r>
    </w:p>
    <w:p>
      <w:pPr>
        <w:pStyle w:val="ListBullet"/>
      </w:pPr>
      <w:r>
        <w:t>Shippo retrieve a refund  https://docs.goshippo.com/api-reference/refunds/retrieve-a-refund</w:t>
      </w:r>
    </w:p>
    <w:p>
      <w:pPr>
        <w:pStyle w:val="ListBullet"/>
      </w:pPr>
      <w:r>
        <w:t>USPS Ground Advantage  https://www.usps.com/ship/ground-advantage.htm</w:t>
      </w:r>
    </w:p>
    <w:p>
      <w:pPr>
        <w:pStyle w:val="Heading1"/>
      </w:pPr>
      <w:r>
        <w:t>Approval record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58"/>
        <w:gridCol w:w="1958"/>
        <w:gridCol w:w="1958"/>
        <w:gridCol w:w="1958"/>
        <w:gridCol w:w="1958"/>
      </w:tblGrid>
      <w:tr>
        <w:trPr>
          <w:tblHeader w:val="true"/>
        </w:trPr>
        <w:tc>
          <w:tcPr>
            <w:tcW w:type="dxa" w:w="2088"/>
            <w:shd w:fill="17365D"/>
            <w:vAlign w:val="center"/>
            <w:tcMar>
              <w:top w:w="100" w:type="dxa"/>
              <w:start w:w="110" w:type="dxa"/>
              <w:bottom w:w="100" w:type="dxa"/>
              <w:end w:w="110" w:type="dxa"/>
            </w:tcMar>
          </w:tcPr>
          <w:p>
            <w:pPr>
              <w:jc w:val="center"/>
            </w:pPr>
            <w:r>
              <w:rPr>
                <w:b/>
                <w:color w:val="FFFFFF"/>
                <w:sz w:val="18"/>
              </w:rPr>
              <w:t>Role</w:t>
            </w:r>
          </w:p>
        </w:tc>
        <w:tc>
          <w:tcPr>
            <w:tcW w:type="dxa" w:w="1800"/>
            <w:shd w:fill="17365D"/>
            <w:vAlign w:val="center"/>
            <w:tcMar>
              <w:top w:w="100" w:type="dxa"/>
              <w:start w:w="110" w:type="dxa"/>
              <w:bottom w:w="100" w:type="dxa"/>
              <w:end w:w="110" w:type="dxa"/>
            </w:tcMar>
          </w:tcPr>
          <w:p>
            <w:pPr>
              <w:jc w:val="center"/>
            </w:pPr>
            <w:r>
              <w:rPr>
                <w:b/>
                <w:color w:val="FFFFFF"/>
                <w:sz w:val="18"/>
              </w:rPr>
              <w:t>Name</w:t>
            </w:r>
          </w:p>
        </w:tc>
        <w:tc>
          <w:tcPr>
            <w:tcW w:type="dxa" w:w="1656"/>
            <w:shd w:fill="17365D"/>
            <w:vAlign w:val="center"/>
            <w:tcMar>
              <w:top w:w="100" w:type="dxa"/>
              <w:start w:w="110" w:type="dxa"/>
              <w:bottom w:w="100" w:type="dxa"/>
              <w:end w:w="110" w:type="dxa"/>
            </w:tcMar>
          </w:tcPr>
          <w:p>
            <w:pPr>
              <w:jc w:val="center"/>
            </w:pPr>
            <w:r>
              <w:rPr>
                <w:b/>
                <w:color w:val="FFFFFF"/>
                <w:sz w:val="18"/>
              </w:rPr>
              <w:t>Decision</w:t>
            </w:r>
          </w:p>
        </w:tc>
        <w:tc>
          <w:tcPr>
            <w:tcW w:type="dxa" w:w="1440"/>
            <w:shd w:fill="17365D"/>
            <w:vAlign w:val="center"/>
            <w:tcMar>
              <w:top w:w="100" w:type="dxa"/>
              <w:start w:w="110" w:type="dxa"/>
              <w:bottom w:w="100" w:type="dxa"/>
              <w:end w:w="110" w:type="dxa"/>
            </w:tcMar>
          </w:tcPr>
          <w:p>
            <w:pPr>
              <w:jc w:val="center"/>
            </w:pPr>
            <w:r>
              <w:rPr>
                <w:b/>
                <w:color w:val="FFFFFF"/>
                <w:sz w:val="18"/>
              </w:rPr>
              <w:t>Date</w:t>
            </w:r>
          </w:p>
        </w:tc>
        <w:tc>
          <w:tcPr>
            <w:tcW w:type="dxa" w:w="2736"/>
            <w:shd w:fill="17365D"/>
            <w:vAlign w:val="center"/>
            <w:tcMar>
              <w:top w:w="100" w:type="dxa"/>
              <w:start w:w="110" w:type="dxa"/>
              <w:bottom w:w="100" w:type="dxa"/>
              <w:end w:w="110" w:type="dxa"/>
            </w:tcMar>
          </w:tcPr>
          <w:p>
            <w:pPr>
              <w:jc w:val="center"/>
            </w:pPr>
            <w:r>
              <w:rPr>
                <w:b/>
                <w:color w:val="FFFFFF"/>
                <w:sz w:val="18"/>
              </w:rPr>
              <w:t>Evidence</w:t>
            </w:r>
          </w:p>
        </w:tc>
      </w:tr>
      <w:tr>
        <w:trPr>
          <w:cantSplit/>
        </w:trPr>
        <w:tc>
          <w:tcPr>
            <w:tcW w:type="dxa" w:w="2088"/>
            <w:vAlign w:val="center"/>
            <w:tcMar>
              <w:top w:w="100" w:type="dxa"/>
              <w:start w:w="110" w:type="dxa"/>
              <w:bottom w:w="100" w:type="dxa"/>
              <w:end w:w="110" w:type="dxa"/>
            </w:tcMar>
          </w:tcPr>
          <w:p>
            <w:pPr>
              <w:jc w:val="center"/>
            </w:pPr>
            <w:r>
              <w:t>Technical owner</w:t>
            </w:r>
          </w:p>
        </w:tc>
        <w:tc>
          <w:tcPr>
            <w:tcW w:type="dxa" w:w="1800"/>
            <w:vAlign w:val="center"/>
            <w:tcMar>
              <w:top w:w="100" w:type="dxa"/>
              <w:start w:w="110" w:type="dxa"/>
              <w:bottom w:w="100" w:type="dxa"/>
              <w:end w:w="110" w:type="dxa"/>
            </w:tcMar>
          </w:tcPr>
          <w:p>
            <w:pPr>
              <w:jc w:val="center"/>
            </w:pPr>
            <w:r/>
          </w:p>
        </w:tc>
        <w:tc>
          <w:tcPr>
            <w:tcW w:type="dxa" w:w="1656"/>
            <w:vAlign w:val="center"/>
            <w:tcMar>
              <w:top w:w="100" w:type="dxa"/>
              <w:start w:w="110" w:type="dxa"/>
              <w:bottom w:w="100" w:type="dxa"/>
              <w:end w:w="110" w:type="dxa"/>
            </w:tcMar>
          </w:tcPr>
          <w:p>
            <w:pPr>
              <w:jc w:val="center"/>
            </w:pPr>
            <w:r/>
          </w:p>
        </w:tc>
        <w:tc>
          <w:tcPr>
            <w:tcW w:type="dxa" w:w="1440"/>
            <w:vAlign w:val="center"/>
            <w:tcMar>
              <w:top w:w="100" w:type="dxa"/>
              <w:start w:w="110" w:type="dxa"/>
              <w:bottom w:w="100" w:type="dxa"/>
              <w:end w:w="110" w:type="dxa"/>
            </w:tcMar>
          </w:tcPr>
          <w:p>
            <w:pPr>
              <w:jc w:val="center"/>
            </w:pPr>
            <w:r/>
          </w:p>
        </w:tc>
        <w:tc>
          <w:tcPr>
            <w:tcW w:type="dxa" w:w="2736"/>
            <w:vAlign w:val="center"/>
            <w:tcMar>
              <w:top w:w="100" w:type="dxa"/>
              <w:start w:w="110" w:type="dxa"/>
              <w:bottom w:w="100" w:type="dxa"/>
              <w:end w:w="110" w:type="dxa"/>
            </w:tcMar>
          </w:tcPr>
          <w:p>
            <w:pPr>
              <w:jc w:val="center"/>
            </w:pPr>
            <w:r/>
          </w:p>
        </w:tc>
      </w:tr>
      <w:tr>
        <w:trPr>
          <w:cantSplit/>
        </w:trPr>
        <w:tc>
          <w:tcPr>
            <w:tcW w:type="dxa" w:w="2088"/>
            <w:shd w:fill="EFF4F8"/>
            <w:vAlign w:val="center"/>
            <w:tcMar>
              <w:top w:w="100" w:type="dxa"/>
              <w:start w:w="110" w:type="dxa"/>
              <w:bottom w:w="100" w:type="dxa"/>
              <w:end w:w="110" w:type="dxa"/>
            </w:tcMar>
          </w:tcPr>
          <w:p>
            <w:pPr>
              <w:jc w:val="center"/>
            </w:pPr>
            <w:r>
              <w:t>Operations reviewer</w:t>
            </w:r>
          </w:p>
        </w:tc>
        <w:tc>
          <w:tcPr>
            <w:tcW w:type="dxa" w:w="1800"/>
            <w:shd w:fill="EFF4F8"/>
            <w:vAlign w:val="center"/>
            <w:tcMar>
              <w:top w:w="100" w:type="dxa"/>
              <w:start w:w="110" w:type="dxa"/>
              <w:bottom w:w="100" w:type="dxa"/>
              <w:end w:w="110" w:type="dxa"/>
            </w:tcMar>
          </w:tcPr>
          <w:p>
            <w:pPr>
              <w:jc w:val="center"/>
            </w:pPr>
            <w:r/>
          </w:p>
        </w:tc>
        <w:tc>
          <w:tcPr>
            <w:tcW w:type="dxa" w:w="1656"/>
            <w:shd w:fill="EFF4F8"/>
            <w:vAlign w:val="center"/>
            <w:tcMar>
              <w:top w:w="100" w:type="dxa"/>
              <w:start w:w="110" w:type="dxa"/>
              <w:bottom w:w="100" w:type="dxa"/>
              <w:end w:w="110" w:type="dxa"/>
            </w:tcMar>
          </w:tcPr>
          <w:p>
            <w:pPr>
              <w:jc w:val="center"/>
            </w:pPr>
            <w:r/>
          </w:p>
        </w:tc>
        <w:tc>
          <w:tcPr>
            <w:tcW w:type="dxa" w:w="1440"/>
            <w:shd w:fill="EFF4F8"/>
            <w:vAlign w:val="center"/>
            <w:tcMar>
              <w:top w:w="100" w:type="dxa"/>
              <w:start w:w="110" w:type="dxa"/>
              <w:bottom w:w="100" w:type="dxa"/>
              <w:end w:w="110" w:type="dxa"/>
            </w:tcMar>
          </w:tcPr>
          <w:p>
            <w:pPr>
              <w:jc w:val="center"/>
            </w:pPr>
            <w:r/>
          </w:p>
        </w:tc>
        <w:tc>
          <w:tcPr>
            <w:tcW w:type="dxa" w:w="2736"/>
            <w:shd w:fill="EFF4F8"/>
            <w:vAlign w:val="center"/>
            <w:tcMar>
              <w:top w:w="100" w:type="dxa"/>
              <w:start w:w="110" w:type="dxa"/>
              <w:bottom w:w="100" w:type="dxa"/>
              <w:end w:w="110" w:type="dxa"/>
            </w:tcMar>
          </w:tcPr>
          <w:p>
            <w:pPr>
              <w:jc w:val="center"/>
            </w:pPr>
            <w:r/>
          </w:p>
        </w:tc>
      </w:tr>
      <w:tr>
        <w:trPr>
          <w:cantSplit/>
        </w:trPr>
        <w:tc>
          <w:tcPr>
            <w:tcW w:type="dxa" w:w="2088"/>
            <w:vAlign w:val="center"/>
            <w:tcMar>
              <w:top w:w="100" w:type="dxa"/>
              <w:start w:w="110" w:type="dxa"/>
              <w:bottom w:w="100" w:type="dxa"/>
              <w:end w:w="110" w:type="dxa"/>
            </w:tcMar>
          </w:tcPr>
          <w:p>
            <w:pPr>
              <w:jc w:val="center"/>
            </w:pPr>
            <w:r>
              <w:t>Quality reviewer</w:t>
            </w:r>
          </w:p>
        </w:tc>
        <w:tc>
          <w:tcPr>
            <w:tcW w:type="dxa" w:w="1800"/>
            <w:vAlign w:val="center"/>
            <w:tcMar>
              <w:top w:w="100" w:type="dxa"/>
              <w:start w:w="110" w:type="dxa"/>
              <w:bottom w:w="100" w:type="dxa"/>
              <w:end w:w="110" w:type="dxa"/>
            </w:tcMar>
          </w:tcPr>
          <w:p>
            <w:pPr>
              <w:jc w:val="center"/>
            </w:pPr>
            <w:r/>
          </w:p>
        </w:tc>
        <w:tc>
          <w:tcPr>
            <w:tcW w:type="dxa" w:w="1656"/>
            <w:vAlign w:val="center"/>
            <w:tcMar>
              <w:top w:w="100" w:type="dxa"/>
              <w:start w:w="110" w:type="dxa"/>
              <w:bottom w:w="100" w:type="dxa"/>
              <w:end w:w="110" w:type="dxa"/>
            </w:tcMar>
          </w:tcPr>
          <w:p>
            <w:pPr>
              <w:jc w:val="center"/>
            </w:pPr>
            <w:r/>
          </w:p>
        </w:tc>
        <w:tc>
          <w:tcPr>
            <w:tcW w:type="dxa" w:w="1440"/>
            <w:vAlign w:val="center"/>
            <w:tcMar>
              <w:top w:w="100" w:type="dxa"/>
              <w:start w:w="110" w:type="dxa"/>
              <w:bottom w:w="100" w:type="dxa"/>
              <w:end w:w="110" w:type="dxa"/>
            </w:tcMar>
          </w:tcPr>
          <w:p>
            <w:pPr>
              <w:jc w:val="center"/>
            </w:pPr>
            <w:r/>
          </w:p>
        </w:tc>
        <w:tc>
          <w:tcPr>
            <w:tcW w:type="dxa" w:w="2736"/>
            <w:vAlign w:val="center"/>
            <w:tcMar>
              <w:top w:w="100" w:type="dxa"/>
              <w:start w:w="110" w:type="dxa"/>
              <w:bottom w:w="100" w:type="dxa"/>
              <w:end w:w="110" w:type="dxa"/>
            </w:tcMar>
          </w:tcPr>
          <w:p>
            <w:pPr>
              <w:jc w:val="center"/>
            </w:pPr>
            <w:r/>
          </w:p>
        </w:tc>
      </w:tr>
      <w:tr>
        <w:trPr>
          <w:cantSplit/>
        </w:trPr>
        <w:tc>
          <w:tcPr>
            <w:tcW w:type="dxa" w:w="2088"/>
            <w:shd w:fill="EFF4F8"/>
            <w:vAlign w:val="center"/>
            <w:tcMar>
              <w:top w:w="100" w:type="dxa"/>
              <w:start w:w="110" w:type="dxa"/>
              <w:bottom w:w="100" w:type="dxa"/>
              <w:end w:w="110" w:type="dxa"/>
            </w:tcMar>
          </w:tcPr>
          <w:p>
            <w:pPr>
              <w:jc w:val="center"/>
            </w:pPr>
            <w:r>
              <w:t>Production approver</w:t>
            </w:r>
          </w:p>
        </w:tc>
        <w:tc>
          <w:tcPr>
            <w:tcW w:type="dxa" w:w="1800"/>
            <w:shd w:fill="EFF4F8"/>
            <w:vAlign w:val="center"/>
            <w:tcMar>
              <w:top w:w="100" w:type="dxa"/>
              <w:start w:w="110" w:type="dxa"/>
              <w:bottom w:w="100" w:type="dxa"/>
              <w:end w:w="110" w:type="dxa"/>
            </w:tcMar>
          </w:tcPr>
          <w:p>
            <w:pPr>
              <w:jc w:val="center"/>
            </w:pPr>
            <w:r/>
          </w:p>
        </w:tc>
        <w:tc>
          <w:tcPr>
            <w:tcW w:type="dxa" w:w="1656"/>
            <w:shd w:fill="EFF4F8"/>
            <w:vAlign w:val="center"/>
            <w:tcMar>
              <w:top w:w="100" w:type="dxa"/>
              <w:start w:w="110" w:type="dxa"/>
              <w:bottom w:w="100" w:type="dxa"/>
              <w:end w:w="110" w:type="dxa"/>
            </w:tcMar>
          </w:tcPr>
          <w:p>
            <w:pPr>
              <w:jc w:val="center"/>
            </w:pPr>
            <w:r/>
          </w:p>
        </w:tc>
        <w:tc>
          <w:tcPr>
            <w:tcW w:type="dxa" w:w="1440"/>
            <w:shd w:fill="EFF4F8"/>
            <w:vAlign w:val="center"/>
            <w:tcMar>
              <w:top w:w="100" w:type="dxa"/>
              <w:start w:w="110" w:type="dxa"/>
              <w:bottom w:w="100" w:type="dxa"/>
              <w:end w:w="110" w:type="dxa"/>
            </w:tcMar>
          </w:tcPr>
          <w:p>
            <w:pPr>
              <w:jc w:val="center"/>
            </w:pPr>
            <w:r/>
          </w:p>
        </w:tc>
        <w:tc>
          <w:tcPr>
            <w:tcW w:type="dxa" w:w="2736"/>
            <w:shd w:fill="EFF4F8"/>
            <w:vAlign w:val="center"/>
            <w:tcMar>
              <w:top w:w="100" w:type="dxa"/>
              <w:start w:w="110" w:type="dxa"/>
              <w:bottom w:w="100" w:type="dxa"/>
              <w:end w:w="110" w:type="dxa"/>
            </w:tcMar>
          </w:tcPr>
          <w:p>
            <w:pPr>
              <w:jc w:val="center"/>
            </w:pPr>
            <w:r/>
          </w:p>
        </w:tc>
      </w:tr>
    </w:tbl>
    <w:p>
      <w:pPr>
        <w:spacing w:after="20"/>
      </w:pPr>
    </w:p>
    <w:sectPr w:rsidR="00FC693F" w:rsidRPr="0006063C" w:rsidSect="00034616">
      <w:headerReference w:type="default" r:id="rId9"/>
      <w:headerReference w:type="even" r:id="rId10"/>
      <w:headerReference w:type="first" r:id="rId11"/>
      <w:footerReference w:type="default" r:id="rId12"/>
      <w:footerReference w:type="even" r:id="rId13"/>
      <w:footerReference w:type="first" r:id="rId14"/>
      <w:pgSz w:w="12240" w:h="15840"/>
      <w:pgMar w:top="1080" w:right="1224" w:bottom="1008"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t xml:space="preserve">MAN 002   Controlled draft   </w:t>
    </w:r>
    <w:r>
      <w:rPr>
        <w:color w:val="000000"/>
      </w:rPr>
      <w:t xml:space="preserve">Page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t xml:space="preserve">MAN 002   Controlled draft   </w:t>
    </w:r>
    <w:r>
      <w:rPr>
        <w:color w:val="000000"/>
      </w:rPr>
      <w:t xml:space="preserve">Page </w:t>
    </w:r>
    <w:fldSimple w:instr="PAG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t xml:space="preserve">MAN 002   Controlled draft   </w:t>
    </w:r>
    <w:r>
      <w:rPr>
        <w:color w:val="000000"/>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ptos Display" w:hAnsi="Aptos Display"/>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Aptos Display" w:hAnsi="Aptos Display"/>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Aptos Display" w:hAnsi="Aptos Display"/>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before="0"/>
      <w:contextualSpacing/>
    </w:pPr>
    <w:rPr>
      <w:rFonts w:asciiTheme="majorHAnsi" w:eastAsiaTheme="majorEastAsia" w:hAnsiTheme="majorHAnsi" w:cstheme="majorBidi" w:ascii="Aptos Display" w:hAnsi="Aptos Display"/>
      <w:b w:val="0"/>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Operations and Recovery Manual</dc:title>
  <dc:subject>Business operations and standard operating procedures</dc:subject>
  <dc:creator>NexPhase Labs</dc:creator>
  <cp:keywords/>
  <dc:description>generated by python-docx</dc:description>
  <cp:lastModifiedBy/>
  <cp:revision>1</cp:revision>
  <dcterms:created xsi:type="dcterms:W3CDTF">2013-12-23T23:15:00Z</dcterms:created>
  <dcterms:modified xsi:type="dcterms:W3CDTF">2013-12-23T23:15:00Z</dcterms:modified>
  <cp:category/>
</cp:coreProperties>
</file>