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Standard Operating Procedure Library</w:t>
      </w:r>
    </w:p>
    <w:p>
      <w:pPr>
        <w:pStyle w:val="Subtitle"/>
      </w:pPr>
      <w:r>
        <w:rPr>
          <w:color w:val="000000"/>
        </w:rPr>
        <w:t>Verified application workflows for controlled business operation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448"/>
        <w:gridCol w:w="2448"/>
        <w:gridCol w:w="244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Document</w:t>
            </w:r>
          </w:p>
        </w:tc>
        <w:tc>
          <w:tcPr>
            <w:tcW w:type="dxa" w:w="1656"/>
            <w:shd w:fill="17365D"/>
            <w:vAlign w:val="center"/>
            <w:tcMar>
              <w:top w:w="100" w:type="dxa"/>
              <w:start w:w="110" w:type="dxa"/>
              <w:bottom w:w="100" w:type="dxa"/>
              <w:end w:w="110" w:type="dxa"/>
            </w:tcMar>
          </w:tcPr>
          <w:p>
            <w:pPr>
              <w:jc w:val="center"/>
            </w:pPr>
            <w:r>
              <w:rPr>
                <w:b/>
                <w:color w:val="FFFFFF"/>
                <w:sz w:val="18"/>
              </w:rPr>
              <w:t>Revision</w:t>
            </w:r>
          </w:p>
        </w:tc>
        <w:tc>
          <w:tcPr>
            <w:tcW w:type="dxa" w:w="2448"/>
            <w:shd w:fill="17365D"/>
            <w:vAlign w:val="center"/>
            <w:tcMar>
              <w:top w:w="100" w:type="dxa"/>
              <w:start w:w="110" w:type="dxa"/>
              <w:bottom w:w="100" w:type="dxa"/>
              <w:end w:w="110" w:type="dxa"/>
            </w:tcMar>
          </w:tcPr>
          <w:p>
            <w:pPr>
              <w:jc w:val="center"/>
            </w:pPr>
            <w:r>
              <w:rPr>
                <w:b/>
                <w:color w:val="FFFFFF"/>
                <w:sz w:val="18"/>
              </w:rPr>
              <w:t>Status</w:t>
            </w:r>
          </w:p>
        </w:tc>
        <w:tc>
          <w:tcPr>
            <w:tcW w:type="dxa" w:w="3384"/>
            <w:shd w:fill="17365D"/>
            <w:vAlign w:val="center"/>
            <w:tcMar>
              <w:top w:w="100" w:type="dxa"/>
              <w:start w:w="110" w:type="dxa"/>
              <w:bottom w:w="100" w:type="dxa"/>
              <w:end w:w="110" w:type="dxa"/>
            </w:tcMar>
          </w:tcPr>
          <w:p>
            <w:pPr>
              <w:jc w:val="center"/>
            </w:pPr>
            <w:r>
              <w:rPr>
                <w:b/>
                <w:color w:val="FFFFFF"/>
                <w:sz w:val="18"/>
              </w:rPr>
              <w:t>Review cycle</w:t>
            </w:r>
          </w:p>
        </w:tc>
      </w:tr>
      <w:tr>
        <w:trPr>
          <w:cantSplit/>
        </w:trPr>
        <w:tc>
          <w:tcPr>
            <w:tcW w:type="dxa" w:w="1800"/>
            <w:vAlign w:val="center"/>
            <w:tcMar>
              <w:top w:w="100" w:type="dxa"/>
              <w:start w:w="110" w:type="dxa"/>
              <w:bottom w:w="100" w:type="dxa"/>
              <w:end w:w="110" w:type="dxa"/>
            </w:tcMar>
          </w:tcPr>
          <w:p>
            <w:pPr>
              <w:jc w:val="center"/>
            </w:pPr>
            <w:r>
              <w:t>SOP LIBRARY</w:t>
            </w:r>
          </w:p>
        </w:tc>
        <w:tc>
          <w:tcPr>
            <w:tcW w:type="dxa" w:w="1656"/>
            <w:vAlign w:val="center"/>
            <w:tcMar>
              <w:top w:w="100" w:type="dxa"/>
              <w:start w:w="110" w:type="dxa"/>
              <w:bottom w:w="100" w:type="dxa"/>
              <w:end w:w="110" w:type="dxa"/>
            </w:tcMar>
          </w:tcPr>
          <w:p>
            <w:pPr>
              <w:jc w:val="center"/>
            </w:pPr>
            <w:r>
              <w:t>Revision 0 1</w:t>
            </w:r>
          </w:p>
        </w:tc>
        <w:tc>
          <w:tcPr>
            <w:tcW w:type="dxa" w:w="2448"/>
            <w:vAlign w:val="center"/>
            <w:tcMar>
              <w:top w:w="100" w:type="dxa"/>
              <w:start w:w="110" w:type="dxa"/>
              <w:bottom w:w="100" w:type="dxa"/>
              <w:end w:w="110" w:type="dxa"/>
            </w:tcMar>
          </w:tcPr>
          <w:p>
            <w:pPr>
              <w:jc w:val="center"/>
            </w:pPr>
            <w:r>
              <w:t>Controlled draft</w:t>
            </w:r>
          </w:p>
        </w:tc>
        <w:tc>
          <w:tcPr>
            <w:tcW w:type="dxa" w:w="3384"/>
            <w:vAlign w:val="center"/>
            <w:tcMar>
              <w:top w:w="100" w:type="dxa"/>
              <w:start w:w="110" w:type="dxa"/>
              <w:bottom w:w="100" w:type="dxa"/>
              <w:end w:w="110" w:type="dxa"/>
            </w:tcMar>
          </w:tcPr>
          <w:p>
            <w:pPr>
              <w:jc w:val="left"/>
            </w:pPr>
            <w:r>
              <w:t>Annual and after material change</w:t>
            </w:r>
          </w:p>
        </w:tc>
      </w:tr>
    </w:tbl>
    <w:p>
      <w:pPr>
        <w:spacing w:after="20"/>
      </w:pPr>
    </w:p>
    <w:p>
      <w:r>
        <w:rPr>
          <w:b/>
        </w:rPr>
        <w:t xml:space="preserve">Issuance condition  </w:t>
      </w:r>
      <w:r>
        <w:t>The authorized members must approve the authority matrix and open policies, then named operators must complete a staging walkthrough. Record approval and training evidence in Operating Controls before changing this document to issued.</w:t>
      </w:r>
    </w:p>
    <w:p>
      <w:pPr>
        <w:pStyle w:val="Heading1"/>
      </w:pPr>
      <w:r>
        <w:t>How to use this library</w:t>
      </w:r>
    </w:p>
    <w:p>
      <w:r>
        <w:t>Follow the procedure that matches the work. Stop when a prerequisite is missing or the application refuses a guarded action. Record the exception in an operational case and assign the next action. An issued procedure never authorizes a person beyond the approved authority matrix.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6912"/>
            <w:shd w:fill="17365D"/>
            <w:vAlign w:val="center"/>
            <w:tcMar>
              <w:top w:w="100" w:type="dxa"/>
              <w:start w:w="110" w:type="dxa"/>
              <w:bottom w:w="100" w:type="dxa"/>
              <w:end w:w="110" w:type="dxa"/>
            </w:tcMar>
          </w:tcPr>
          <w:p>
            <w:pPr>
              <w:jc w:val="center"/>
            </w:pPr>
            <w:r>
              <w:rPr>
                <w:b/>
                <w:color w:val="FFFFFF"/>
                <w:sz w:val="18"/>
              </w:rPr>
              <w:t>Procedure</w:t>
            </w:r>
          </w:p>
        </w:tc>
        <w:tc>
          <w:tcPr>
            <w:tcW w:type="dxa" w:w="2808"/>
            <w:shd w:fill="17365D"/>
            <w:vAlign w:val="center"/>
            <w:tcMar>
              <w:top w:w="100" w:type="dxa"/>
              <w:start w:w="110" w:type="dxa"/>
              <w:bottom w:w="100" w:type="dxa"/>
              <w:end w:w="110" w:type="dxa"/>
            </w:tcMar>
          </w:tcPr>
          <w:p>
            <w:pPr>
              <w:jc w:val="center"/>
            </w:pPr>
            <w:r>
              <w:rPr>
                <w:b/>
                <w:color w:val="FFFFFF"/>
                <w:sz w:val="18"/>
              </w:rPr>
              <w:t>Primary record</w:t>
            </w:r>
          </w:p>
        </w:tc>
      </w:tr>
      <w:tr>
        <w:trPr>
          <w:cantSplit/>
        </w:trPr>
        <w:tc>
          <w:tcPr>
            <w:tcW w:type="dxa" w:w="6912"/>
            <w:vAlign w:val="center"/>
            <w:tcMar>
              <w:top w:w="100" w:type="dxa"/>
              <w:start w:w="110" w:type="dxa"/>
              <w:bottom w:w="100" w:type="dxa"/>
              <w:end w:w="110" w:type="dxa"/>
            </w:tcMar>
          </w:tcPr>
          <w:p>
            <w:pPr>
              <w:jc w:val="left"/>
            </w:pPr>
            <w:r>
              <w:t>SOP 003 Daily Queue and Work Handoff</w:t>
            </w:r>
          </w:p>
        </w:tc>
        <w:tc>
          <w:tcPr>
            <w:tcW w:type="dxa" w:w="2808"/>
            <w:vAlign w:val="center"/>
            <w:tcMar>
              <w:top w:w="100" w:type="dxa"/>
              <w:start w:w="110" w:type="dxa"/>
              <w:bottom w:w="100" w:type="dxa"/>
              <w:end w:w="110" w:type="dxa"/>
            </w:tcMar>
          </w:tcPr>
          <w:p>
            <w:pPr>
              <w:jc w:val="left"/>
            </w:pPr>
            <w:r>
              <w:t>Order events</w:t>
            </w:r>
          </w:p>
        </w:tc>
      </w:tr>
      <w:tr>
        <w:trPr>
          <w:cantSplit/>
        </w:trPr>
        <w:tc>
          <w:tcPr>
            <w:tcW w:type="dxa" w:w="6912"/>
            <w:shd w:fill="EFF4F8"/>
            <w:vAlign w:val="center"/>
            <w:tcMar>
              <w:top w:w="100" w:type="dxa"/>
              <w:start w:w="110" w:type="dxa"/>
              <w:bottom w:w="100" w:type="dxa"/>
              <w:end w:w="110" w:type="dxa"/>
            </w:tcMar>
          </w:tcPr>
          <w:p>
            <w:pPr>
              <w:jc w:val="left"/>
            </w:pPr>
            <w:r>
              <w:t>SOP 004 Supplier Qualification and Purchasing</w:t>
            </w:r>
          </w:p>
        </w:tc>
        <w:tc>
          <w:tcPr>
            <w:tcW w:type="dxa" w:w="2808"/>
            <w:shd w:fill="EFF4F8"/>
            <w:vAlign w:val="center"/>
            <w:tcMar>
              <w:top w:w="100" w:type="dxa"/>
              <w:start w:w="110" w:type="dxa"/>
              <w:bottom w:w="100" w:type="dxa"/>
              <w:end w:w="110" w:type="dxa"/>
            </w:tcMar>
          </w:tcPr>
          <w:p>
            <w:pPr>
              <w:jc w:val="left"/>
            </w:pPr>
            <w:r>
              <w:t>Supplier record and events</w:t>
            </w:r>
          </w:p>
        </w:tc>
      </w:tr>
      <w:tr>
        <w:trPr>
          <w:cantSplit/>
        </w:trPr>
        <w:tc>
          <w:tcPr>
            <w:tcW w:type="dxa" w:w="6912"/>
            <w:vAlign w:val="center"/>
            <w:tcMar>
              <w:top w:w="100" w:type="dxa"/>
              <w:start w:w="110" w:type="dxa"/>
              <w:bottom w:w="100" w:type="dxa"/>
              <w:end w:w="110" w:type="dxa"/>
            </w:tcMar>
          </w:tcPr>
          <w:p>
            <w:pPr>
              <w:jc w:val="left"/>
            </w:pPr>
            <w:r>
              <w:t>SOP 005 Lot Receipt and Quarantine</w:t>
            </w:r>
          </w:p>
        </w:tc>
        <w:tc>
          <w:tcPr>
            <w:tcW w:type="dxa" w:w="2808"/>
            <w:vAlign w:val="center"/>
            <w:tcMar>
              <w:top w:w="100" w:type="dxa"/>
              <w:start w:w="110" w:type="dxa"/>
              <w:bottom w:w="100" w:type="dxa"/>
              <w:end w:w="110" w:type="dxa"/>
            </w:tcMar>
          </w:tcPr>
          <w:p>
            <w:pPr>
              <w:jc w:val="left"/>
            </w:pPr>
            <w:r>
              <w:t>Lot</w:t>
            </w:r>
          </w:p>
        </w:tc>
      </w:tr>
      <w:tr>
        <w:trPr>
          <w:cantSplit/>
        </w:trPr>
        <w:tc>
          <w:tcPr>
            <w:tcW w:type="dxa" w:w="6912"/>
            <w:shd w:fill="EFF4F8"/>
            <w:vAlign w:val="center"/>
            <w:tcMar>
              <w:top w:w="100" w:type="dxa"/>
              <w:start w:w="110" w:type="dxa"/>
              <w:bottom w:w="100" w:type="dxa"/>
              <w:end w:w="110" w:type="dxa"/>
            </w:tcMar>
          </w:tcPr>
          <w:p>
            <w:pPr>
              <w:jc w:val="left"/>
            </w:pPr>
            <w:r>
              <w:t>SOP 006 Lot Testing and Disposition</w:t>
            </w:r>
          </w:p>
        </w:tc>
        <w:tc>
          <w:tcPr>
            <w:tcW w:type="dxa" w:w="2808"/>
            <w:shd w:fill="EFF4F8"/>
            <w:vAlign w:val="center"/>
            <w:tcMar>
              <w:top w:w="100" w:type="dxa"/>
              <w:start w:w="110" w:type="dxa"/>
              <w:bottom w:w="100" w:type="dxa"/>
              <w:end w:w="110" w:type="dxa"/>
            </w:tcMar>
          </w:tcPr>
          <w:p>
            <w:pPr>
              <w:jc w:val="left"/>
            </w:pPr>
            <w:r>
              <w:t>Lot</w:t>
            </w:r>
          </w:p>
        </w:tc>
      </w:tr>
      <w:tr>
        <w:trPr>
          <w:cantSplit/>
        </w:trPr>
        <w:tc>
          <w:tcPr>
            <w:tcW w:type="dxa" w:w="6912"/>
            <w:vAlign w:val="center"/>
            <w:tcMar>
              <w:top w:w="100" w:type="dxa"/>
              <w:start w:w="110" w:type="dxa"/>
              <w:bottom w:w="100" w:type="dxa"/>
              <w:end w:w="110" w:type="dxa"/>
            </w:tcMar>
          </w:tcPr>
          <w:p>
            <w:pPr>
              <w:jc w:val="left"/>
            </w:pPr>
            <w:r>
              <w:t>SOP 007 Inventory Movements and Physical Counts</w:t>
            </w:r>
          </w:p>
        </w:tc>
        <w:tc>
          <w:tcPr>
            <w:tcW w:type="dxa" w:w="2808"/>
            <w:vAlign w:val="center"/>
            <w:tcMar>
              <w:top w:w="100" w:type="dxa"/>
              <w:start w:w="110" w:type="dxa"/>
              <w:bottom w:w="100" w:type="dxa"/>
              <w:end w:w="110" w:type="dxa"/>
            </w:tcMar>
          </w:tcPr>
          <w:p>
            <w:pPr>
              <w:jc w:val="left"/>
            </w:pPr>
            <w:r>
              <w:t>Count evidence</w:t>
            </w:r>
          </w:p>
        </w:tc>
      </w:tr>
      <w:tr>
        <w:trPr>
          <w:cantSplit/>
        </w:trPr>
        <w:tc>
          <w:tcPr>
            <w:tcW w:type="dxa" w:w="6912"/>
            <w:shd w:fill="EFF4F8"/>
            <w:vAlign w:val="center"/>
            <w:tcMar>
              <w:top w:w="100" w:type="dxa"/>
              <w:start w:w="110" w:type="dxa"/>
              <w:bottom w:w="100" w:type="dxa"/>
              <w:end w:w="110" w:type="dxa"/>
            </w:tcMar>
          </w:tcPr>
          <w:p>
            <w:pPr>
              <w:jc w:val="left"/>
            </w:pPr>
            <w:r>
              <w:t>SOP 008 Operational Cases Recalls and Corrective Action</w:t>
            </w:r>
          </w:p>
        </w:tc>
        <w:tc>
          <w:tcPr>
            <w:tcW w:type="dxa" w:w="2808"/>
            <w:shd w:fill="EFF4F8"/>
            <w:vAlign w:val="center"/>
            <w:tcMar>
              <w:top w:w="100" w:type="dxa"/>
              <w:start w:w="110" w:type="dxa"/>
              <w:bottom w:w="100" w:type="dxa"/>
              <w:end w:w="110" w:type="dxa"/>
            </w:tcMar>
          </w:tcPr>
          <w:p>
            <w:pPr>
              <w:jc w:val="left"/>
            </w:pPr>
            <w:r>
              <w:t>Operational case and events</w:t>
            </w:r>
          </w:p>
        </w:tc>
      </w:tr>
      <w:tr>
        <w:trPr>
          <w:cantSplit/>
        </w:trPr>
        <w:tc>
          <w:tcPr>
            <w:tcW w:type="dxa" w:w="6912"/>
            <w:vAlign w:val="center"/>
            <w:tcMar>
              <w:top w:w="100" w:type="dxa"/>
              <w:start w:w="110" w:type="dxa"/>
              <w:bottom w:w="100" w:type="dxa"/>
              <w:end w:w="110" w:type="dxa"/>
            </w:tcMar>
          </w:tcPr>
          <w:p>
            <w:pPr>
              <w:jc w:val="left"/>
            </w:pPr>
            <w:r>
              <w:t>SOP 009 Order Payment Fulfillment Shipping and Delivery</w:t>
            </w:r>
          </w:p>
        </w:tc>
        <w:tc>
          <w:tcPr>
            <w:tcW w:type="dxa" w:w="2808"/>
            <w:vAlign w:val="center"/>
            <w:tcMar>
              <w:top w:w="100" w:type="dxa"/>
              <w:start w:w="110" w:type="dxa"/>
              <w:bottom w:w="100" w:type="dxa"/>
              <w:end w:w="110" w:type="dxa"/>
            </w:tcMar>
          </w:tcPr>
          <w:p>
            <w:pPr>
              <w:jc w:val="left"/>
            </w:pPr>
            <w:r>
              <w:t>Order and events</w:t>
            </w:r>
          </w:p>
        </w:tc>
      </w:tr>
      <w:tr>
        <w:trPr>
          <w:cantSplit/>
        </w:trPr>
        <w:tc>
          <w:tcPr>
            <w:tcW w:type="dxa" w:w="6912"/>
            <w:shd w:fill="EFF4F8"/>
            <w:vAlign w:val="center"/>
            <w:tcMar>
              <w:top w:w="100" w:type="dxa"/>
              <w:start w:w="110" w:type="dxa"/>
              <w:bottom w:w="100" w:type="dxa"/>
              <w:end w:w="110" w:type="dxa"/>
            </w:tcMar>
          </w:tcPr>
          <w:p>
            <w:pPr>
              <w:jc w:val="left"/>
            </w:pPr>
            <w:r>
              <w:t>SOP 010 Returns Refunds and Customer Complaints</w:t>
            </w:r>
          </w:p>
        </w:tc>
        <w:tc>
          <w:tcPr>
            <w:tcW w:type="dxa" w:w="2808"/>
            <w:shd w:fill="EFF4F8"/>
            <w:vAlign w:val="center"/>
            <w:tcMar>
              <w:top w:w="100" w:type="dxa"/>
              <w:start w:w="110" w:type="dxa"/>
              <w:bottom w:w="100" w:type="dxa"/>
              <w:end w:w="110" w:type="dxa"/>
            </w:tcMar>
          </w:tcPr>
          <w:p>
            <w:pPr>
              <w:jc w:val="left"/>
            </w:pPr>
            <w:r>
              <w:t>Feedback</w:t>
            </w:r>
          </w:p>
        </w:tc>
      </w:tr>
      <w:tr>
        <w:trPr>
          <w:cantSplit/>
        </w:trPr>
        <w:tc>
          <w:tcPr>
            <w:tcW w:type="dxa" w:w="6912"/>
            <w:vAlign w:val="center"/>
            <w:tcMar>
              <w:top w:w="100" w:type="dxa"/>
              <w:start w:w="110" w:type="dxa"/>
              <w:bottom w:w="100" w:type="dxa"/>
              <w:end w:w="110" w:type="dxa"/>
            </w:tcMar>
          </w:tcPr>
          <w:p>
            <w:pPr>
              <w:jc w:val="left"/>
            </w:pPr>
            <w:r>
              <w:t>SOP 011 Period Reporting and Month End Review</w:t>
            </w:r>
          </w:p>
        </w:tc>
        <w:tc>
          <w:tcPr>
            <w:tcW w:type="dxa" w:w="2808"/>
            <w:vAlign w:val="center"/>
            <w:tcMar>
              <w:top w:w="100" w:type="dxa"/>
              <w:start w:w="110" w:type="dxa"/>
              <w:bottom w:w="100" w:type="dxa"/>
              <w:end w:w="110" w:type="dxa"/>
            </w:tcMar>
          </w:tcPr>
          <w:p>
            <w:pPr>
              <w:jc w:val="left"/>
            </w:pPr>
            <w:r>
              <w:t>Period CSVs</w:t>
            </w:r>
          </w:p>
        </w:tc>
      </w:tr>
      <w:tr>
        <w:trPr>
          <w:cantSplit/>
        </w:trPr>
        <w:tc>
          <w:tcPr>
            <w:tcW w:type="dxa" w:w="6912"/>
            <w:shd w:fill="EFF4F8"/>
            <w:vAlign w:val="center"/>
            <w:tcMar>
              <w:top w:w="100" w:type="dxa"/>
              <w:start w:w="110" w:type="dxa"/>
              <w:bottom w:w="100" w:type="dxa"/>
              <w:end w:w="110" w:type="dxa"/>
            </w:tcMar>
          </w:tcPr>
          <w:p>
            <w:pPr>
              <w:jc w:val="left"/>
            </w:pPr>
            <w:r>
              <w:t>SOP 012 Customer Notices and Service Recovery</w:t>
            </w:r>
          </w:p>
        </w:tc>
        <w:tc>
          <w:tcPr>
            <w:tcW w:type="dxa" w:w="2808"/>
            <w:shd w:fill="EFF4F8"/>
            <w:vAlign w:val="center"/>
            <w:tcMar>
              <w:top w:w="100" w:type="dxa"/>
              <w:start w:w="110" w:type="dxa"/>
              <w:bottom w:w="100" w:type="dxa"/>
              <w:end w:w="110" w:type="dxa"/>
            </w:tcMar>
          </w:tcPr>
          <w:p>
            <w:pPr>
              <w:jc w:val="left"/>
            </w:pPr>
            <w:r>
              <w:t>Notification and events</w:t>
            </w:r>
          </w:p>
        </w:tc>
      </w:tr>
    </w:tbl>
    <w:p>
      <w:pPr>
        <w:spacing w:after="20"/>
      </w:pPr>
    </w:p>
    <w:p>
      <w:r>
        <w:br w:type="page"/>
      </w:r>
    </w:p>
    <w:p>
      <w:pPr>
        <w:pStyle w:val="Heading1"/>
      </w:pPr>
      <w:r>
        <w:t>SOP 003 Daily Queue and Work Handoff</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center"/>
            </w:pPr>
            <w:r>
              <w:t>Operations lead</w:t>
            </w:r>
          </w:p>
        </w:tc>
        <w:tc>
          <w:tcPr>
            <w:tcW w:type="dxa" w:w="3744"/>
            <w:vAlign w:val="center"/>
            <w:tcMar>
              <w:top w:w="100" w:type="dxa"/>
              <w:start w:w="110" w:type="dxa"/>
              <w:bottom w:w="100" w:type="dxa"/>
              <w:end w:w="110" w:type="dxa"/>
            </w:tcMar>
          </w:tcPr>
          <w:p>
            <w:pPr>
              <w:jc w:val="left"/>
            </w:pPr>
            <w:r>
              <w:t>Keep active work visible, owned, dated, and attributable.</w:t>
            </w:r>
          </w:p>
        </w:tc>
        <w:tc>
          <w:tcPr>
            <w:tcW w:type="dxa" w:w="4104"/>
            <w:vAlign w:val="center"/>
            <w:tcMar>
              <w:top w:w="100" w:type="dxa"/>
              <w:start w:w="110" w:type="dxa"/>
              <w:bottom w:w="100" w:type="dxa"/>
              <w:end w:w="110" w:type="dxa"/>
            </w:tcMar>
          </w:tcPr>
          <w:p>
            <w:pPr>
              <w:jc w:val="left"/>
            </w:pPr>
            <w:r>
              <w:t>Orders, cases, controls, lots, procurement, notices, and refunds.</w:t>
            </w:r>
          </w:p>
        </w:tc>
      </w:tr>
    </w:tbl>
    <w:p>
      <w:pPr>
        <w:spacing w:after="20"/>
      </w:pPr>
    </w:p>
    <w:p>
      <w:pPr>
        <w:pStyle w:val="Heading2"/>
      </w:pPr>
      <w:r>
        <w:t>Prerequisites</w:t>
      </w:r>
    </w:p>
    <w:p>
      <w:pPr>
        <w:pStyle w:val="ListBullet"/>
      </w:pPr>
      <w:r>
        <w:t>Active staff account with an approved role</w:t>
      </w:r>
    </w:p>
    <w:p>
      <w:pPr>
        <w:pStyle w:val="ListBullet"/>
      </w:pPr>
      <w:r>
        <w:t>Today’s Operations dashboard available</w:t>
      </w:r>
    </w:p>
    <w:p>
      <w:pPr>
        <w:pStyle w:val="ListBullet"/>
      </w:pPr>
      <w:r>
        <w:t>Current escalation contacts</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Open Today’s Operations and note urgent or overdue counts.</w:t>
            </w:r>
          </w:p>
        </w:tc>
        <w:tc>
          <w:tcPr>
            <w:tcW w:type="dxa" w:w="3672"/>
            <w:vAlign w:val="center"/>
            <w:tcMar>
              <w:top w:w="100" w:type="dxa"/>
              <w:start w:w="110" w:type="dxa"/>
              <w:bottom w:w="100" w:type="dxa"/>
              <w:end w:w="110" w:type="dxa"/>
            </w:tcMar>
          </w:tcPr>
          <w:p>
            <w:pPr>
              <w:jc w:val="left"/>
            </w:pPr>
            <w:r>
              <w:t>Start of day review recorded when required</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Open Orders and select Assigned to me, Overdue service actions, then Unassigned active orders.</w:t>
            </w:r>
          </w:p>
        </w:tc>
        <w:tc>
          <w:tcPr>
            <w:tcW w:type="dxa" w:w="3672"/>
            <w:shd w:fill="EFF4F8"/>
            <w:vAlign w:val="center"/>
            <w:tcMar>
              <w:top w:w="100" w:type="dxa"/>
              <w:start w:w="110" w:type="dxa"/>
              <w:bottom w:w="100" w:type="dxa"/>
              <w:end w:w="110" w:type="dxa"/>
            </w:tcMar>
          </w:tcPr>
          <w:p>
            <w:pPr>
              <w:jc w:val="left"/>
            </w:pPr>
            <w:r>
              <w:t>Every active order has an appropriate owner</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Claim only work you will own. Set a future next action due time and describe the next action.</w:t>
            </w:r>
          </w:p>
        </w:tc>
        <w:tc>
          <w:tcPr>
            <w:tcW w:type="dxa" w:w="3672"/>
            <w:vAlign w:val="center"/>
            <w:tcMar>
              <w:top w:w="100" w:type="dxa"/>
              <w:start w:w="110" w:type="dxa"/>
              <w:bottom w:w="100" w:type="dxa"/>
              <w:end w:w="110" w:type="dxa"/>
            </w:tcMar>
          </w:tcPr>
          <w:p>
            <w:pPr>
              <w:jc w:val="left"/>
            </w:pPr>
            <w:r>
              <w:t>Order event records owner, due time, note, and actor</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Open Cases and review assigned, critical, and overdue records. Update containment and next action.</w:t>
            </w:r>
          </w:p>
        </w:tc>
        <w:tc>
          <w:tcPr>
            <w:tcW w:type="dxa" w:w="3672"/>
            <w:shd w:fill="EFF4F8"/>
            <w:vAlign w:val="center"/>
            <w:tcMar>
              <w:top w:w="100" w:type="dxa"/>
              <w:start w:w="110" w:type="dxa"/>
              <w:bottom w:w="100" w:type="dxa"/>
              <w:end w:w="110" w:type="dxa"/>
            </w:tcMar>
          </w:tcPr>
          <w:p>
            <w:pPr>
              <w:jc w:val="left"/>
            </w:pPr>
            <w:r>
              <w:t>Case status and evidence match current facts</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Review quarantine, hold, payment, refund, notification, and purchasing queues relevant to your role.</w:t>
            </w:r>
          </w:p>
        </w:tc>
        <w:tc>
          <w:tcPr>
            <w:tcW w:type="dxa" w:w="3672"/>
            <w:vAlign w:val="center"/>
            <w:tcMar>
              <w:top w:w="100" w:type="dxa"/>
              <w:start w:w="110" w:type="dxa"/>
              <w:bottom w:w="100" w:type="dxa"/>
              <w:end w:w="110" w:type="dxa"/>
            </w:tcMar>
          </w:tcPr>
          <w:p>
            <w:pPr>
              <w:jc w:val="left"/>
            </w:pPr>
            <w:r>
              <w:t>Exceptions are acted on or assigned</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Hand unfinished work to an active teammate with a due time and note before sign out.</w:t>
            </w:r>
          </w:p>
        </w:tc>
        <w:tc>
          <w:tcPr>
            <w:tcW w:type="dxa" w:w="3672"/>
            <w:shd w:fill="EFF4F8"/>
            <w:vAlign w:val="center"/>
            <w:tcMar>
              <w:top w:w="100" w:type="dxa"/>
              <w:start w:w="110" w:type="dxa"/>
              <w:bottom w:w="100" w:type="dxa"/>
              <w:end w:w="110" w:type="dxa"/>
            </w:tcMar>
          </w:tcPr>
          <w:p>
            <w:pPr>
              <w:jc w:val="left"/>
            </w:pPr>
            <w:r>
              <w:t>No hidden or ambiguous handoff</w:t>
            </w:r>
          </w:p>
        </w:tc>
      </w:tr>
    </w:tbl>
    <w:p>
      <w:pPr>
        <w:spacing w:after="20"/>
      </w:pPr>
    </w:p>
    <w:p>
      <w:pPr>
        <w:pStyle w:val="Heading2"/>
      </w:pPr>
      <w:r>
        <w:t>Exceptions and escalation</w:t>
      </w:r>
    </w:p>
    <w:p>
      <w:pPr>
        <w:pStyle w:val="ListBullet"/>
      </w:pPr>
      <w:r>
        <w:t>Do not reassign work owned by another person unless you are the current owner or administrator.</w:t>
      </w:r>
    </w:p>
    <w:p>
      <w:pPr>
        <w:pStyle w:val="ListBullet"/>
      </w:pPr>
      <w:r>
        <w:t>Open an incident case when the application is unavailable or the queue may be incomplete.</w:t>
      </w:r>
    </w:p>
    <w:p>
      <w:pPr>
        <w:pStyle w:val="ListBullet"/>
      </w:pPr>
      <w:r>
        <w:t>Escalate any critical, safety, legal, payment, or release issue immediately.</w:t>
      </w:r>
    </w:p>
    <w:p>
      <w:pPr>
        <w:pStyle w:val="Heading2"/>
      </w:pPr>
      <w:r>
        <w:t>Completion criteria</w:t>
      </w:r>
    </w:p>
    <w:p>
      <w:pPr>
        <w:pStyle w:val="ListBullet"/>
      </w:pPr>
      <w:r>
        <w:t>Every actionable order and case has one current owner and current due date.</w:t>
      </w:r>
    </w:p>
    <w:p>
      <w:pPr>
        <w:pStyle w:val="ListBullet"/>
      </w:pPr>
      <w:r>
        <w:t>Overdue work has an update, escalation, or documented blocker.</w:t>
      </w:r>
    </w:p>
    <w:p>
      <w:pPr>
        <w:pStyle w:val="ListBullet"/>
      </w:pPr>
      <w:r>
        <w:t>All handoffs appear in append only history.</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Unassigned active orders, overdue orders, overdue cases, and handoffs without notes</w:t>
            </w:r>
          </w:p>
        </w:tc>
        <w:tc>
          <w:tcPr>
            <w:tcW w:type="dxa" w:w="5040"/>
            <w:vAlign w:val="center"/>
            <w:tcMar>
              <w:top w:w="100" w:type="dxa"/>
              <w:start w:w="110" w:type="dxa"/>
              <w:bottom w:w="100" w:type="dxa"/>
              <w:end w:w="110" w:type="dxa"/>
            </w:tcMar>
          </w:tcPr>
          <w:p>
            <w:pPr>
              <w:jc w:val="left"/>
            </w:pPr>
            <w:r>
              <w:t>Order events, case events, dashboard counts, and operating control evidence</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004 Supplier Qualification and Purchasing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left"/>
            </w:pPr>
            <w:r>
              <w:t>Supply owner and purchasing operator</w:t>
            </w:r>
          </w:p>
        </w:tc>
        <w:tc>
          <w:tcPr>
            <w:tcW w:type="dxa" w:w="3744"/>
            <w:vAlign w:val="center"/>
            <w:tcMar>
              <w:top w:w="100" w:type="dxa"/>
              <w:start w:w="110" w:type="dxa"/>
              <w:bottom w:w="100" w:type="dxa"/>
              <w:end w:w="110" w:type="dxa"/>
            </w:tcMar>
          </w:tcPr>
          <w:p>
            <w:pPr>
              <w:jc w:val="left"/>
            </w:pPr>
            <w:r>
              <w:t>Buy only from an active supplier with a current, reviewable qualification.</w:t>
            </w:r>
          </w:p>
        </w:tc>
        <w:tc>
          <w:tcPr>
            <w:tcW w:type="dxa" w:w="4104"/>
            <w:vAlign w:val="center"/>
            <w:tcMar>
              <w:top w:w="100" w:type="dxa"/>
              <w:start w:w="110" w:type="dxa"/>
              <w:bottom w:w="100" w:type="dxa"/>
              <w:end w:w="110" w:type="dxa"/>
            </w:tcMar>
          </w:tcPr>
          <w:p>
            <w:pPr>
              <w:jc w:val="left"/>
            </w:pPr>
            <w:r>
              <w:t>Supplier onboarding, qualification, purchase orders, expected receipts, and suspension.</w:t>
            </w:r>
          </w:p>
        </w:tc>
      </w:tr>
    </w:tbl>
    <w:p>
      <w:pPr>
        <w:spacing w:after="20"/>
      </w:pPr>
    </w:p>
    <w:p>
      <w:pPr>
        <w:pStyle w:val="Heading2"/>
      </w:pPr>
      <w:r>
        <w:t>Prerequisites</w:t>
      </w:r>
    </w:p>
    <w:p>
      <w:pPr>
        <w:pStyle w:val="ListBullet"/>
      </w:pPr>
      <w:r>
        <w:t>Approved qualification criteria and decision authority</w:t>
      </w:r>
    </w:p>
    <w:p>
      <w:pPr>
        <w:pStyle w:val="ListBullet"/>
      </w:pPr>
      <w:r>
        <w:t>Controlled supplier evidence folder</w:t>
      </w:r>
    </w:p>
    <w:p>
      <w:pPr>
        <w:pStyle w:val="ListBullet"/>
      </w:pPr>
      <w:r>
        <w:t>Approved products, costs, terms, and purchase authority</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Create or update the supplier identity, address, contacts, website, and internal notes.</w:t>
            </w:r>
          </w:p>
        </w:tc>
        <w:tc>
          <w:tcPr>
            <w:tcW w:type="dxa" w:w="3672"/>
            <w:vAlign w:val="center"/>
            <w:tcMar>
              <w:top w:w="100" w:type="dxa"/>
              <w:start w:w="110" w:type="dxa"/>
              <w:bottom w:w="100" w:type="dxa"/>
              <w:end w:w="110" w:type="dxa"/>
            </w:tcMar>
          </w:tcPr>
          <w:p>
            <w:pPr>
              <w:jc w:val="left"/>
            </w:pPr>
            <w:r>
              <w:t>Attributed supplier record</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Review identity, manufacturer or facility information, quality records, references, commercial terms, and applicable risks outside the application.</w:t>
            </w:r>
          </w:p>
        </w:tc>
        <w:tc>
          <w:tcPr>
            <w:tcW w:type="dxa" w:w="3672"/>
            <w:shd w:fill="EFF4F8"/>
            <w:vAlign w:val="center"/>
            <w:tcMar>
              <w:top w:w="100" w:type="dxa"/>
              <w:start w:w="110" w:type="dxa"/>
              <w:bottom w:w="100" w:type="dxa"/>
              <w:end w:w="110" w:type="dxa"/>
            </w:tcMar>
          </w:tcPr>
          <w:p>
            <w:pPr>
              <w:jc w:val="left"/>
            </w:pPr>
            <w:r>
              <w:t>Controlled evidence set</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Record qualification reason, approved supply scope, evidence link, and future review date.</w:t>
            </w:r>
          </w:p>
        </w:tc>
        <w:tc>
          <w:tcPr>
            <w:tcW w:type="dxa" w:w="3672"/>
            <w:vAlign w:val="center"/>
            <w:tcMar>
              <w:top w:w="100" w:type="dxa"/>
              <w:start w:w="110" w:type="dxa"/>
              <w:bottom w:w="100" w:type="dxa"/>
              <w:end w:w="110" w:type="dxa"/>
            </w:tcMar>
          </w:tcPr>
          <w:p>
            <w:pPr>
              <w:jc w:val="left"/>
            </w:pPr>
            <w:r>
              <w:t>Named qualification event</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Create a draft purchase order with product, quantity, line cost, freight, duty, dates, and supplier reference.</w:t>
            </w:r>
          </w:p>
        </w:tc>
        <w:tc>
          <w:tcPr>
            <w:tcW w:type="dxa" w:w="3672"/>
            <w:shd w:fill="EFF4F8"/>
            <w:vAlign w:val="center"/>
            <w:tcMar>
              <w:top w:w="100" w:type="dxa"/>
              <w:start w:w="110" w:type="dxa"/>
              <w:bottom w:w="100" w:type="dxa"/>
              <w:end w:w="110" w:type="dxa"/>
            </w:tcMar>
          </w:tcPr>
          <w:p>
            <w:pPr>
              <w:jc w:val="left"/>
            </w:pPr>
            <w:r>
              <w:t>Draft PO and line records</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Review approval threshold and issued document requirements. When authorized, send the order and record the transition.</w:t>
            </w:r>
          </w:p>
        </w:tc>
        <w:tc>
          <w:tcPr>
            <w:tcW w:type="dxa" w:w="3672"/>
            <w:vAlign w:val="center"/>
            <w:tcMar>
              <w:top w:w="100" w:type="dxa"/>
              <w:start w:w="110" w:type="dxa"/>
              <w:bottom w:w="100" w:type="dxa"/>
              <w:end w:w="110" w:type="dxa"/>
            </w:tcMar>
          </w:tcPr>
          <w:p>
            <w:pPr>
              <w:jc w:val="left"/>
            </w:pPr>
            <w:r>
              <w:t>Sent PO event and supplier acknowledgment evidence</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Receive material only against the matching open line when applicable. Investigate differences before closing short.</w:t>
            </w:r>
          </w:p>
        </w:tc>
        <w:tc>
          <w:tcPr>
            <w:tcW w:type="dxa" w:w="3672"/>
            <w:shd w:fill="EFF4F8"/>
            <w:vAlign w:val="center"/>
            <w:tcMar>
              <w:top w:w="100" w:type="dxa"/>
              <w:start w:w="110" w:type="dxa"/>
              <w:bottom w:w="100" w:type="dxa"/>
              <w:end w:w="110" w:type="dxa"/>
            </w:tcMar>
          </w:tcPr>
          <w:p>
            <w:pPr>
              <w:jc w:val="left"/>
            </w:pPr>
            <w:r>
              <w:t>Expected receipt links to actual lots</w:t>
            </w:r>
          </w:p>
        </w:tc>
      </w:tr>
      <w:tr>
        <w:trPr>
          <w:cantSplit/>
        </w:trPr>
        <w:tc>
          <w:tcPr>
            <w:tcW w:type="dxa" w:w="792"/>
            <w:vAlign w:val="center"/>
            <w:tcMar>
              <w:top w:w="100" w:type="dxa"/>
              <w:start w:w="110" w:type="dxa"/>
              <w:bottom w:w="100" w:type="dxa"/>
              <w:end w:w="110" w:type="dxa"/>
            </w:tcMar>
          </w:tcPr>
          <w:p>
            <w:pPr>
              <w:jc w:val="center"/>
            </w:pPr>
            <w:r>
              <w:t>7</w:t>
            </w:r>
          </w:p>
        </w:tc>
        <w:tc>
          <w:tcPr>
            <w:tcW w:type="dxa" w:w="5256"/>
            <w:vAlign w:val="center"/>
            <w:tcMar>
              <w:top w:w="100" w:type="dxa"/>
              <w:start w:w="110" w:type="dxa"/>
              <w:bottom w:w="100" w:type="dxa"/>
              <w:end w:w="110" w:type="dxa"/>
            </w:tcMar>
          </w:tcPr>
          <w:p>
            <w:pPr>
              <w:jc w:val="left"/>
            </w:pPr>
            <w:r>
              <w:t>Suspend a supplier immediately when continued purchasing is not approved. Record the reason.</w:t>
            </w:r>
          </w:p>
        </w:tc>
        <w:tc>
          <w:tcPr>
            <w:tcW w:type="dxa" w:w="3672"/>
            <w:vAlign w:val="center"/>
            <w:tcMar>
              <w:top w:w="100" w:type="dxa"/>
              <w:start w:w="110" w:type="dxa"/>
              <w:bottom w:w="100" w:type="dxa"/>
              <w:end w:w="110" w:type="dxa"/>
            </w:tcMar>
          </w:tcPr>
          <w:p>
            <w:pPr>
              <w:jc w:val="left"/>
            </w:pPr>
            <w:r>
              <w:t>Suspension event blocks new POs</w:t>
            </w:r>
          </w:p>
        </w:tc>
      </w:tr>
    </w:tbl>
    <w:p>
      <w:pPr>
        <w:spacing w:after="20"/>
      </w:pPr>
    </w:p>
    <w:p>
      <w:pPr>
        <w:pStyle w:val="Heading2"/>
      </w:pPr>
      <w:r>
        <w:t>Exceptions and escalation</w:t>
      </w:r>
    </w:p>
    <w:p>
      <w:pPr>
        <w:pStyle w:val="ListBullet"/>
      </w:pPr>
      <w:r>
        <w:t>Do not qualify without scope, evidence link, and review date.</w:t>
      </w:r>
    </w:p>
    <w:p>
      <w:pPr>
        <w:pStyle w:val="ListBullet"/>
      </w:pPr>
      <w:r>
        <w:t>Do not raise a PO for an unqualified, suspended, inactive, or changed supplier.</w:t>
      </w:r>
    </w:p>
    <w:p>
      <w:pPr>
        <w:pStyle w:val="ListBullet"/>
      </w:pPr>
      <w:r>
        <w:t>Open a supplier issue case for material quality, identity, delivery, or documentation failures.</w:t>
      </w:r>
    </w:p>
    <w:p>
      <w:pPr>
        <w:pStyle w:val="Heading2"/>
      </w:pPr>
      <w:r>
        <w:t>Completion criteria</w:t>
      </w:r>
    </w:p>
    <w:p>
      <w:pPr>
        <w:pStyle w:val="ListBullet"/>
      </w:pPr>
      <w:r>
        <w:t>Qualification is current and within scope.</w:t>
      </w:r>
    </w:p>
    <w:p>
      <w:pPr>
        <w:pStyle w:val="ListBullet"/>
      </w:pPr>
      <w:r>
        <w:t>PO totals and expected receipts are complete and attributable.</w:t>
      </w:r>
    </w:p>
    <w:p>
      <w:pPr>
        <w:pStyle w:val="ListBullet"/>
      </w:pPr>
      <w:r>
        <w:t>Supplier acknowledgment and invoice matching evidence are linked before financial close.</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Qualifications overdue, unacknowledged sent POs, overdue receipts, and supplier issue cases</w:t>
            </w:r>
          </w:p>
        </w:tc>
        <w:tc>
          <w:tcPr>
            <w:tcW w:type="dxa" w:w="5040"/>
            <w:vAlign w:val="center"/>
            <w:tcMar>
              <w:top w:w="100" w:type="dxa"/>
              <w:start w:w="110" w:type="dxa"/>
              <w:bottom w:w="100" w:type="dxa"/>
              <w:end w:w="110" w:type="dxa"/>
            </w:tcMar>
          </w:tcPr>
          <w:p>
            <w:pPr>
              <w:jc w:val="left"/>
            </w:pPr>
            <w:r>
              <w:t>Supplier record and events, evidence folder, PO and events, lots, supplier invoices, reconciliation</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005 Lot Receipt and Quarantine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center"/>
            </w:pPr>
            <w:r>
              <w:t>Receiving operator</w:t>
            </w:r>
          </w:p>
        </w:tc>
        <w:tc>
          <w:tcPr>
            <w:tcW w:type="dxa" w:w="3744"/>
            <w:vAlign w:val="center"/>
            <w:tcMar>
              <w:top w:w="100" w:type="dxa"/>
              <w:start w:w="110" w:type="dxa"/>
              <w:bottom w:w="100" w:type="dxa"/>
              <w:end w:w="110" w:type="dxa"/>
            </w:tcMar>
          </w:tcPr>
          <w:p>
            <w:pPr>
              <w:jc w:val="left"/>
            </w:pPr>
            <w:r>
              <w:t>Record received material without making it sellable.</w:t>
            </w:r>
          </w:p>
        </w:tc>
        <w:tc>
          <w:tcPr>
            <w:tcW w:type="dxa" w:w="4104"/>
            <w:vAlign w:val="center"/>
            <w:tcMar>
              <w:top w:w="100" w:type="dxa"/>
              <w:start w:w="110" w:type="dxa"/>
              <w:bottom w:w="100" w:type="dxa"/>
              <w:end w:w="110" w:type="dxa"/>
            </w:tcMar>
          </w:tcPr>
          <w:p>
            <w:pPr>
              <w:jc w:val="left"/>
            </w:pPr>
            <w:r>
              <w:t>Physical receipt, count, condition, purchase order match, quarantine, and initial documents.</w:t>
            </w:r>
          </w:p>
        </w:tc>
      </w:tr>
    </w:tbl>
    <w:p>
      <w:pPr>
        <w:spacing w:after="20"/>
      </w:pPr>
    </w:p>
    <w:p>
      <w:pPr>
        <w:pStyle w:val="Heading2"/>
      </w:pPr>
      <w:r>
        <w:t>Prerequisites</w:t>
      </w:r>
    </w:p>
    <w:p>
      <w:pPr>
        <w:pStyle w:val="ListBullet"/>
      </w:pPr>
      <w:r>
        <w:t>Active supplier and expected receipt when a PO exists</w:t>
      </w:r>
    </w:p>
    <w:p>
      <w:pPr>
        <w:pStyle w:val="ListBullet"/>
      </w:pPr>
      <w:r>
        <w:t>Approved receiving area and labels</w:t>
      </w:r>
    </w:p>
    <w:p>
      <w:pPr>
        <w:pStyle w:val="ListBullet"/>
      </w:pPr>
      <w:r>
        <w:t>Calibrated tools and current safety information</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Inspect package identity, damage, tamper evidence, temperature condition, and accompanying documents before opening.</w:t>
            </w:r>
          </w:p>
        </w:tc>
        <w:tc>
          <w:tcPr>
            <w:tcW w:type="dxa" w:w="3672"/>
            <w:vAlign w:val="center"/>
            <w:tcMar>
              <w:top w:w="100" w:type="dxa"/>
              <w:start w:w="110" w:type="dxa"/>
              <w:bottom w:w="100" w:type="dxa"/>
              <w:end w:w="110" w:type="dxa"/>
            </w:tcMar>
          </w:tcPr>
          <w:p>
            <w:pPr>
              <w:jc w:val="left"/>
            </w:pPr>
            <w:r>
              <w:t>Receiving inspection evidence</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Count or measure independently and compare supplier document, package, and expected receipt.</w:t>
            </w:r>
          </w:p>
        </w:tc>
        <w:tc>
          <w:tcPr>
            <w:tcW w:type="dxa" w:w="3672"/>
            <w:shd w:fill="EFF4F8"/>
            <w:vAlign w:val="center"/>
            <w:tcMar>
              <w:top w:w="100" w:type="dxa"/>
              <w:start w:w="110" w:type="dxa"/>
              <w:bottom w:w="100" w:type="dxa"/>
              <w:end w:w="110" w:type="dxa"/>
            </w:tcMar>
          </w:tcPr>
          <w:p>
            <w:pPr>
              <w:jc w:val="left"/>
            </w:pPr>
            <w:r>
              <w:t>Verified received quantity</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Create the lot with exact lot number, product, received quantity, date, supplier, manufacturer information, location, and landed cost when authorized.</w:t>
            </w:r>
          </w:p>
        </w:tc>
        <w:tc>
          <w:tcPr>
            <w:tcW w:type="dxa" w:w="3672"/>
            <w:vAlign w:val="center"/>
            <w:tcMar>
              <w:top w:w="100" w:type="dxa"/>
              <w:start w:w="110" w:type="dxa"/>
              <w:bottom w:w="100" w:type="dxa"/>
              <w:end w:w="110" w:type="dxa"/>
            </w:tcMar>
          </w:tcPr>
          <w:p>
            <w:pPr>
              <w:jc w:val="left"/>
            </w:pPr>
            <w:r>
              <w:t>Lot in quarantine and receipt movement</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Apply the quarantine label and segregate the material from released inventory.</w:t>
            </w:r>
          </w:p>
        </w:tc>
        <w:tc>
          <w:tcPr>
            <w:tcW w:type="dxa" w:w="3672"/>
            <w:shd w:fill="EFF4F8"/>
            <w:vAlign w:val="center"/>
            <w:tcMar>
              <w:top w:w="100" w:type="dxa"/>
              <w:start w:w="110" w:type="dxa"/>
              <w:bottom w:w="100" w:type="dxa"/>
              <w:end w:w="110" w:type="dxa"/>
            </w:tcMar>
          </w:tcPr>
          <w:p>
            <w:pPr>
              <w:jc w:val="left"/>
            </w:pPr>
            <w:r>
              <w:t>Physical status matches application status</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Attach the available COA or controlled source documents. Do not treat upload as release.</w:t>
            </w:r>
          </w:p>
        </w:tc>
        <w:tc>
          <w:tcPr>
            <w:tcW w:type="dxa" w:w="3672"/>
            <w:vAlign w:val="center"/>
            <w:tcMar>
              <w:top w:w="100" w:type="dxa"/>
              <w:start w:w="110" w:type="dxa"/>
              <w:bottom w:w="100" w:type="dxa"/>
              <w:end w:w="110" w:type="dxa"/>
            </w:tcMar>
          </w:tcPr>
          <w:p>
            <w:pPr>
              <w:jc w:val="left"/>
            </w:pPr>
            <w:r>
              <w:t>Document history linked to lot</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Open a deviation or supplier issue case for damage, mismatch, missing identity, or count variance.</w:t>
            </w:r>
          </w:p>
        </w:tc>
        <w:tc>
          <w:tcPr>
            <w:tcW w:type="dxa" w:w="3672"/>
            <w:shd w:fill="EFF4F8"/>
            <w:vAlign w:val="center"/>
            <w:tcMar>
              <w:top w:w="100" w:type="dxa"/>
              <w:start w:w="110" w:type="dxa"/>
              <w:bottom w:w="100" w:type="dxa"/>
              <w:end w:w="110" w:type="dxa"/>
            </w:tcMar>
          </w:tcPr>
          <w:p>
            <w:pPr>
              <w:jc w:val="left"/>
            </w:pPr>
            <w:r>
              <w:t>Exception owner and containment</w:t>
            </w:r>
          </w:p>
        </w:tc>
      </w:tr>
    </w:tbl>
    <w:p>
      <w:pPr>
        <w:spacing w:after="20"/>
      </w:pPr>
    </w:p>
    <w:p>
      <w:pPr>
        <w:pStyle w:val="Heading2"/>
      </w:pPr>
      <w:r>
        <w:t>Exceptions and escalation</w:t>
      </w:r>
    </w:p>
    <w:p>
      <w:pPr>
        <w:pStyle w:val="ListBullet"/>
      </w:pPr>
      <w:r>
        <w:t>Do not receive against a closed or stale expected receipt.</w:t>
      </w:r>
    </w:p>
    <w:p>
      <w:pPr>
        <w:pStyle w:val="ListBullet"/>
      </w:pPr>
      <w:r>
        <w:t>Do not change received quantity outside the controlled correction or adjustment workflow.</w:t>
      </w:r>
    </w:p>
    <w:p>
      <w:pPr>
        <w:pStyle w:val="ListBullet"/>
      </w:pPr>
      <w:r>
        <w:t>Hold damaged or ambiguous material and preserve packaging evidence.</w:t>
      </w:r>
    </w:p>
    <w:p>
      <w:pPr>
        <w:pStyle w:val="Heading2"/>
      </w:pPr>
      <w:r>
        <w:t>Completion criteria</w:t>
      </w:r>
    </w:p>
    <w:p>
      <w:pPr>
        <w:pStyle w:val="ListBullet"/>
      </w:pPr>
      <w:r>
        <w:t>Lot exists in quarantine with an attributed receipt movement.</w:t>
      </w:r>
    </w:p>
    <w:p>
      <w:pPr>
        <w:pStyle w:val="ListBullet"/>
      </w:pPr>
      <w:r>
        <w:t>Physical label and segregated location match the record.</w:t>
      </w:r>
    </w:p>
    <w:p>
      <w:pPr>
        <w:pStyle w:val="ListBullet"/>
      </w:pPr>
      <w:r>
        <w:t>Differences are resolved or assigned in a case.</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Receipt discrepancies, time to quarantine record, and lots missing documents or manufacturer identity</w:t>
            </w:r>
          </w:p>
        </w:tc>
        <w:tc>
          <w:tcPr>
            <w:tcW w:type="dxa" w:w="5040"/>
            <w:vAlign w:val="center"/>
            <w:tcMar>
              <w:top w:w="100" w:type="dxa"/>
              <w:start w:w="110" w:type="dxa"/>
              <w:bottom w:w="100" w:type="dxa"/>
              <w:end w:w="110" w:type="dxa"/>
            </w:tcMar>
          </w:tcPr>
          <w:p>
            <w:pPr>
              <w:jc w:val="left"/>
            </w:pPr>
            <w:r>
              <w:t>Lot, receipt movement, PO line, inspection evidence, lot documents, case when needed</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006 Lot Testing and Disposition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center"/>
            </w:pPr>
            <w:r>
              <w:t>Quality owner</w:t>
            </w:r>
          </w:p>
        </w:tc>
        <w:tc>
          <w:tcPr>
            <w:tcW w:type="dxa" w:w="3744"/>
            <w:vAlign w:val="center"/>
            <w:tcMar>
              <w:top w:w="100" w:type="dxa"/>
              <w:start w:w="110" w:type="dxa"/>
              <w:bottom w:w="100" w:type="dxa"/>
              <w:end w:w="110" w:type="dxa"/>
            </w:tcMar>
          </w:tcPr>
          <w:p>
            <w:pPr>
              <w:jc w:val="left"/>
            </w:pPr>
            <w:r>
              <w:t>Release only material that meets approved specifications and evidence requirements.</w:t>
            </w:r>
          </w:p>
        </w:tc>
        <w:tc>
          <w:tcPr>
            <w:tcW w:type="dxa" w:w="4104"/>
            <w:vAlign w:val="center"/>
            <w:tcMar>
              <w:top w:w="100" w:type="dxa"/>
              <w:start w:w="110" w:type="dxa"/>
              <w:bottom w:w="100" w:type="dxa"/>
              <w:end w:w="110" w:type="dxa"/>
            </w:tcMar>
          </w:tcPr>
          <w:p>
            <w:pPr>
              <w:jc w:val="left"/>
            </w:pPr>
            <w:r>
              <w:t>Test results, COA review, labels, release, hold, withdrawal, and exhaustion.</w:t>
            </w:r>
          </w:p>
        </w:tc>
      </w:tr>
    </w:tbl>
    <w:p>
      <w:pPr>
        <w:spacing w:after="20"/>
      </w:pPr>
    </w:p>
    <w:p>
      <w:pPr>
        <w:pStyle w:val="Heading2"/>
      </w:pPr>
      <w:r>
        <w:t>Prerequisites</w:t>
      </w:r>
    </w:p>
    <w:p>
      <w:pPr>
        <w:pStyle w:val="ListBullet"/>
      </w:pPr>
      <w:r>
        <w:t>Approved specifications, methods, and reviewer competence</w:t>
      </w:r>
    </w:p>
    <w:p>
      <w:pPr>
        <w:pStyle w:val="ListBullet"/>
      </w:pPr>
      <w:r>
        <w:t>Lot is in quarantine or controlled hold</w:t>
      </w:r>
    </w:p>
    <w:p>
      <w:pPr>
        <w:pStyle w:val="ListBullet"/>
      </w:pPr>
      <w:r>
        <w:t>Manufacturer identity and required documents are available</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Verify lot identity, manufacturer name and address, received quantity, source documents, and current specification version.</w:t>
            </w:r>
          </w:p>
        </w:tc>
        <w:tc>
          <w:tcPr>
            <w:tcW w:type="dxa" w:w="3672"/>
            <w:vAlign w:val="center"/>
            <w:tcMar>
              <w:top w:w="100" w:type="dxa"/>
              <w:start w:w="110" w:type="dxa"/>
              <w:bottom w:w="100" w:type="dxa"/>
              <w:end w:w="110" w:type="dxa"/>
            </w:tcMar>
          </w:tcPr>
          <w:p>
            <w:pPr>
              <w:jc w:val="left"/>
            </w:pPr>
            <w:r>
              <w:t>Complete review set</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Record analytical results with method, units, limits, result, date, and named recorder.</w:t>
            </w:r>
          </w:p>
        </w:tc>
        <w:tc>
          <w:tcPr>
            <w:tcW w:type="dxa" w:w="3672"/>
            <w:shd w:fill="EFF4F8"/>
            <w:vAlign w:val="center"/>
            <w:tcMar>
              <w:top w:w="100" w:type="dxa"/>
              <w:start w:w="110" w:type="dxa"/>
              <w:bottom w:w="100" w:type="dxa"/>
              <w:end w:w="110" w:type="dxa"/>
            </w:tcMar>
          </w:tcPr>
          <w:p>
            <w:pPr>
              <w:jc w:val="left"/>
            </w:pPr>
            <w:r>
              <w:t>Attributed test result history</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Review every release blocker shown by the application. Resolve blockers through corrected evidence or a case.</w:t>
            </w:r>
          </w:p>
        </w:tc>
        <w:tc>
          <w:tcPr>
            <w:tcW w:type="dxa" w:w="3672"/>
            <w:vAlign w:val="center"/>
            <w:tcMar>
              <w:top w:w="100" w:type="dxa"/>
              <w:start w:w="110" w:type="dxa"/>
              <w:bottom w:w="100" w:type="dxa"/>
              <w:end w:w="110" w:type="dxa"/>
            </w:tcMar>
          </w:tcPr>
          <w:p>
            <w:pPr>
              <w:jc w:val="left"/>
            </w:pPr>
            <w:r>
              <w:t>No unresolved release blocker</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Record the quality disposition. Release only when requirements pass; otherwise hold or withdraw with a reason.</w:t>
            </w:r>
          </w:p>
        </w:tc>
        <w:tc>
          <w:tcPr>
            <w:tcW w:type="dxa" w:w="3672"/>
            <w:shd w:fill="EFF4F8"/>
            <w:vAlign w:val="center"/>
            <w:tcMar>
              <w:top w:w="100" w:type="dxa"/>
              <w:start w:w="110" w:type="dxa"/>
              <w:bottom w:w="100" w:type="dxa"/>
              <w:end w:w="110" w:type="dxa"/>
            </w:tcMar>
          </w:tcPr>
          <w:p>
            <w:pPr>
              <w:jc w:val="left"/>
            </w:pPr>
            <w:r>
              <w:t>Named status event</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Issue or retrieve the correct lot label and available COA only after the applicable status permits it.</w:t>
            </w:r>
          </w:p>
        </w:tc>
        <w:tc>
          <w:tcPr>
            <w:tcW w:type="dxa" w:w="3672"/>
            <w:vAlign w:val="center"/>
            <w:tcMar>
              <w:top w:w="100" w:type="dxa"/>
              <w:start w:w="110" w:type="dxa"/>
              <w:bottom w:w="100" w:type="dxa"/>
              <w:end w:w="110" w:type="dxa"/>
            </w:tcMar>
          </w:tcPr>
          <w:p>
            <w:pPr>
              <w:jc w:val="left"/>
            </w:pPr>
            <w:r>
              <w:t>Controlled lot documents</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Monitor retest and expiry requirements. Hold material before uncertainty affects a shipment.</w:t>
            </w:r>
          </w:p>
        </w:tc>
        <w:tc>
          <w:tcPr>
            <w:tcW w:type="dxa" w:w="3672"/>
            <w:shd w:fill="EFF4F8"/>
            <w:vAlign w:val="center"/>
            <w:tcMar>
              <w:top w:w="100" w:type="dxa"/>
              <w:start w:w="110" w:type="dxa"/>
              <w:bottom w:w="100" w:type="dxa"/>
              <w:end w:w="110" w:type="dxa"/>
            </w:tcMar>
          </w:tcPr>
          <w:p>
            <w:pPr>
              <w:jc w:val="left"/>
            </w:pPr>
            <w:r>
              <w:t>Current disposition</w:t>
            </w:r>
          </w:p>
        </w:tc>
      </w:tr>
    </w:tbl>
    <w:p>
      <w:pPr>
        <w:spacing w:after="20"/>
      </w:pPr>
    </w:p>
    <w:p>
      <w:pPr>
        <w:pStyle w:val="Heading2"/>
      </w:pPr>
      <w:r>
        <w:t>Exceptions and escalation</w:t>
      </w:r>
    </w:p>
    <w:p>
      <w:pPr>
        <w:pStyle w:val="ListBullet"/>
      </w:pPr>
      <w:r>
        <w:t>Do not use an exceptional release until the members approve its exact trigger and countersignature rule.</w:t>
      </w:r>
    </w:p>
    <w:p>
      <w:pPr>
        <w:pStyle w:val="ListBullet"/>
      </w:pPr>
      <w:r>
        <w:t>Put a released lot on hold before opening a recall.</w:t>
      </w:r>
    </w:p>
    <w:p>
      <w:pPr>
        <w:pStyle w:val="ListBullet"/>
      </w:pPr>
      <w:r>
        <w:t>Open a deviation or CAPA when a test, document, or method failure needs investigation.</w:t>
      </w:r>
    </w:p>
    <w:p>
      <w:pPr>
        <w:pStyle w:val="Heading2"/>
      </w:pPr>
      <w:r>
        <w:t>Completion criteria</w:t>
      </w:r>
    </w:p>
    <w:p>
      <w:pPr>
        <w:pStyle w:val="ListBullet"/>
      </w:pPr>
      <w:r>
        <w:t>Disposition is attributable and physical status matches the application.</w:t>
      </w:r>
    </w:p>
    <w:p>
      <w:pPr>
        <w:pStyle w:val="ListBullet"/>
      </w:pPr>
      <w:r>
        <w:t>Released lots have no release blockers.</w:t>
      </w:r>
    </w:p>
    <w:p>
      <w:pPr>
        <w:pStyle w:val="ListBullet"/>
      </w:pPr>
      <w:r>
        <w:t>Hold and withdrawal reasons are clear and linked to cases when investigation is required.</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Quarantine age, release blockers, holds, withdrawals, retest alerts, and disposition reversals</w:t>
            </w:r>
          </w:p>
        </w:tc>
        <w:tc>
          <w:tcPr>
            <w:tcW w:type="dxa" w:w="5040"/>
            <w:vAlign w:val="center"/>
            <w:tcMar>
              <w:top w:w="100" w:type="dxa"/>
              <w:start w:w="110" w:type="dxa"/>
              <w:bottom w:w="100" w:type="dxa"/>
              <w:end w:w="110" w:type="dxa"/>
            </w:tcMar>
          </w:tcPr>
          <w:p>
            <w:pPr>
              <w:jc w:val="left"/>
            </w:pPr>
            <w:r>
              <w:t>Lot, tests, documents, status events, labels, COA, case evidence</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007 Inventory Movements and Physical Counts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center"/>
            </w:pPr>
            <w:r>
              <w:t>Inventory operator</w:t>
            </w:r>
          </w:p>
        </w:tc>
        <w:tc>
          <w:tcPr>
            <w:tcW w:type="dxa" w:w="3744"/>
            <w:vAlign w:val="center"/>
            <w:tcMar>
              <w:top w:w="100" w:type="dxa"/>
              <w:start w:w="110" w:type="dxa"/>
              <w:bottom w:w="100" w:type="dxa"/>
              <w:end w:w="110" w:type="dxa"/>
            </w:tcMar>
          </w:tcPr>
          <w:p>
            <w:pPr>
              <w:jc w:val="left"/>
            </w:pPr>
            <w:r>
              <w:t>Keep physical stock and the lot ledger reconciled without side records.</w:t>
            </w:r>
          </w:p>
        </w:tc>
        <w:tc>
          <w:tcPr>
            <w:tcW w:type="dxa" w:w="4104"/>
            <w:vAlign w:val="center"/>
            <w:tcMar>
              <w:top w:w="100" w:type="dxa"/>
              <w:start w:w="110" w:type="dxa"/>
              <w:bottom w:w="100" w:type="dxa"/>
              <w:end w:w="110" w:type="dxa"/>
            </w:tcMar>
          </w:tcPr>
          <w:p>
            <w:pPr>
              <w:jc w:val="left"/>
            </w:pPr>
            <w:r>
              <w:t>Receipt, sample, shipment, return, adjustment, destruction, count, and exhaustion.</w:t>
            </w:r>
          </w:p>
        </w:tc>
      </w:tr>
    </w:tbl>
    <w:p>
      <w:pPr>
        <w:spacing w:after="20"/>
      </w:pPr>
    </w:p>
    <w:p>
      <w:pPr>
        <w:pStyle w:val="Heading2"/>
      </w:pPr>
      <w:r>
        <w:t>Prerequisites</w:t>
      </w:r>
    </w:p>
    <w:p>
      <w:pPr>
        <w:pStyle w:val="ListBullet"/>
      </w:pPr>
      <w:r>
        <w:t>Lot identity and physical location confirmed</w:t>
      </w:r>
    </w:p>
    <w:p>
      <w:pPr>
        <w:pStyle w:val="ListBullet"/>
      </w:pPr>
      <w:r>
        <w:t>Approved unit of measure</w:t>
      </w:r>
    </w:p>
    <w:p>
      <w:pPr>
        <w:pStyle w:val="ListBullet"/>
      </w:pPr>
      <w:r>
        <w:t>Two distinct named witnesses for destruction</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Confirm the lot, current status, on hand quantity, unit, and active reservations.</w:t>
            </w:r>
          </w:p>
        </w:tc>
        <w:tc>
          <w:tcPr>
            <w:tcW w:type="dxa" w:w="3672"/>
            <w:vAlign w:val="center"/>
            <w:tcMar>
              <w:top w:w="100" w:type="dxa"/>
              <w:start w:w="110" w:type="dxa"/>
              <w:bottom w:w="100" w:type="dxa"/>
              <w:end w:w="110" w:type="dxa"/>
            </w:tcMar>
          </w:tcPr>
          <w:p>
            <w:pPr>
              <w:jc w:val="left"/>
            </w:pPr>
            <w:r>
              <w:t>Correct movement source</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Choose sample, destruction, or adjustment. Record quantity, occurrence date, and a specific reason.</w:t>
            </w:r>
          </w:p>
        </w:tc>
        <w:tc>
          <w:tcPr>
            <w:tcW w:type="dxa" w:w="3672"/>
            <w:shd w:fill="EFF4F8"/>
            <w:vAlign w:val="center"/>
            <w:tcMar>
              <w:top w:w="100" w:type="dxa"/>
              <w:start w:w="110" w:type="dxa"/>
              <w:bottom w:w="100" w:type="dxa"/>
              <w:end w:w="110" w:type="dxa"/>
            </w:tcMar>
          </w:tcPr>
          <w:p>
            <w:pPr>
              <w:jc w:val="left"/>
            </w:pPr>
            <w:r>
              <w:t>Validated movement input</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For destruction, identify two different witnesses. For a positive adjustment, place released stock on hold first.</w:t>
            </w:r>
          </w:p>
        </w:tc>
        <w:tc>
          <w:tcPr>
            <w:tcW w:type="dxa" w:w="3672"/>
            <w:vAlign w:val="center"/>
            <w:tcMar>
              <w:top w:w="100" w:type="dxa"/>
              <w:start w:w="110" w:type="dxa"/>
              <w:bottom w:w="100" w:type="dxa"/>
              <w:end w:w="110" w:type="dxa"/>
            </w:tcMar>
          </w:tcPr>
          <w:p>
            <w:pPr>
              <w:jc w:val="left"/>
            </w:pPr>
            <w:r>
              <w:t>Required control evidence</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Submit the movement once. The application updates quantity and ledger in one transaction.</w:t>
            </w:r>
          </w:p>
        </w:tc>
        <w:tc>
          <w:tcPr>
            <w:tcW w:type="dxa" w:w="3672"/>
            <w:shd w:fill="EFF4F8"/>
            <w:vAlign w:val="center"/>
            <w:tcMar>
              <w:top w:w="100" w:type="dxa"/>
              <w:start w:w="110" w:type="dxa"/>
              <w:bottom w:w="100" w:type="dxa"/>
              <w:end w:w="110" w:type="dxa"/>
            </w:tcMar>
          </w:tcPr>
          <w:p>
            <w:pPr>
              <w:jc w:val="left"/>
            </w:pPr>
            <w:r>
              <w:t>Attributed ledger entry and new balance</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For a physical count, compare every container to the application. Investigate the variance before recording an adjustment.</w:t>
            </w:r>
          </w:p>
        </w:tc>
        <w:tc>
          <w:tcPr>
            <w:tcW w:type="dxa" w:w="3672"/>
            <w:vAlign w:val="center"/>
            <w:tcMar>
              <w:top w:w="100" w:type="dxa"/>
              <w:start w:w="110" w:type="dxa"/>
              <w:bottom w:w="100" w:type="dxa"/>
              <w:end w:w="110" w:type="dxa"/>
            </w:tcMar>
          </w:tcPr>
          <w:p>
            <w:pPr>
              <w:jc w:val="left"/>
            </w:pPr>
            <w:r>
              <w:t>Count sheet and case when unexplained</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Review the movement report for the count period and confirm that no movement reduced stock below active reservations.</w:t>
            </w:r>
          </w:p>
        </w:tc>
        <w:tc>
          <w:tcPr>
            <w:tcW w:type="dxa" w:w="3672"/>
            <w:shd w:fill="EFF4F8"/>
            <w:vAlign w:val="center"/>
            <w:tcMar>
              <w:top w:w="100" w:type="dxa"/>
              <w:start w:w="110" w:type="dxa"/>
              <w:bottom w:w="100" w:type="dxa"/>
              <w:end w:w="110" w:type="dxa"/>
            </w:tcMar>
          </w:tcPr>
          <w:p>
            <w:pPr>
              <w:jc w:val="left"/>
            </w:pPr>
            <w:r>
              <w:t>Reconciled count evidence</w:t>
            </w:r>
          </w:p>
        </w:tc>
      </w:tr>
    </w:tbl>
    <w:p>
      <w:pPr>
        <w:spacing w:after="20"/>
      </w:pPr>
    </w:p>
    <w:p>
      <w:pPr>
        <w:pStyle w:val="Heading2"/>
      </w:pPr>
      <w:r>
        <w:t>Exceptions and escalation</w:t>
      </w:r>
    </w:p>
    <w:p>
      <w:pPr>
        <w:pStyle w:val="ListBullet"/>
      </w:pPr>
      <w:r>
        <w:t>Do not use unlike units or a quantity larger than available unreserved stock.</w:t>
      </w:r>
    </w:p>
    <w:p>
      <w:pPr>
        <w:pStyle w:val="ListBullet"/>
      </w:pPr>
      <w:r>
        <w:t>Do not increase a released lot or reopen an exhausted lot through an adjustment.</w:t>
      </w:r>
    </w:p>
    <w:p>
      <w:pPr>
        <w:pStyle w:val="ListBullet"/>
      </w:pPr>
      <w:r>
        <w:t>Open a deviation case for an unexplained variance or failed destruction control.</w:t>
      </w:r>
    </w:p>
    <w:p>
      <w:pPr>
        <w:pStyle w:val="Heading2"/>
      </w:pPr>
      <w:r>
        <w:t>Completion criteria</w:t>
      </w:r>
    </w:p>
    <w:p>
      <w:pPr>
        <w:pStyle w:val="ListBullet"/>
      </w:pPr>
      <w:r>
        <w:t>Physical quantity equals the application balance or a case owns the difference.</w:t>
      </w:r>
    </w:p>
    <w:p>
      <w:pPr>
        <w:pStyle w:val="ListBullet"/>
      </w:pPr>
      <w:r>
        <w:t>Every non sale movement names the actor, date, reason, and witnesses when required.</w:t>
      </w:r>
    </w:p>
    <w:p>
      <w:pPr>
        <w:pStyle w:val="ListBullet"/>
      </w:pPr>
      <w:r>
        <w:t>Exhausted released lots have the exhausted status.</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Count accuracy, adjustment count and value, unexplained variances, and destruction exceptions</w:t>
            </w:r>
          </w:p>
        </w:tc>
        <w:tc>
          <w:tcPr>
            <w:tcW w:type="dxa" w:w="5040"/>
            <w:vAlign w:val="center"/>
            <w:tcMar>
              <w:top w:w="100" w:type="dxa"/>
              <w:start w:w="110" w:type="dxa"/>
              <w:bottom w:w="100" w:type="dxa"/>
              <w:end w:w="110" w:type="dxa"/>
            </w:tcMar>
          </w:tcPr>
          <w:p>
            <w:pPr>
              <w:jc w:val="left"/>
            </w:pPr>
            <w:r>
              <w:t>Count evidence, lot movements, lot status history, reservation review, case records</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008 Operational Cases Recalls and Corrective 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left"/>
            </w:pPr>
            <w:r>
              <w:t>Responsible function owner</w:t>
            </w:r>
          </w:p>
        </w:tc>
        <w:tc>
          <w:tcPr>
            <w:tcW w:type="dxa" w:w="3744"/>
            <w:vAlign w:val="center"/>
            <w:tcMar>
              <w:top w:w="100" w:type="dxa"/>
              <w:start w:w="110" w:type="dxa"/>
              <w:bottom w:w="100" w:type="dxa"/>
              <w:end w:w="110" w:type="dxa"/>
            </w:tcMar>
          </w:tcPr>
          <w:p>
            <w:pPr>
              <w:jc w:val="left"/>
            </w:pPr>
            <w:r>
              <w:t>Contain, investigate, correct, verify, and close operational exceptions.</w:t>
            </w:r>
          </w:p>
        </w:tc>
        <w:tc>
          <w:tcPr>
            <w:tcW w:type="dxa" w:w="4104"/>
            <w:vAlign w:val="center"/>
            <w:tcMar>
              <w:top w:w="100" w:type="dxa"/>
              <w:start w:w="110" w:type="dxa"/>
              <w:bottom w:w="100" w:type="dxa"/>
              <w:end w:w="110" w:type="dxa"/>
            </w:tcMar>
          </w:tcPr>
          <w:p>
            <w:pPr>
              <w:jc w:val="left"/>
            </w:pPr>
            <w:r>
              <w:t>Complaints, deviations, supplier issues, incidents, CAPA, and recalls.</w:t>
            </w:r>
          </w:p>
        </w:tc>
      </w:tr>
    </w:tbl>
    <w:p>
      <w:pPr>
        <w:spacing w:after="20"/>
      </w:pPr>
    </w:p>
    <w:p>
      <w:pPr>
        <w:pStyle w:val="Heading2"/>
      </w:pPr>
      <w:r>
        <w:t>Prerequisites</w:t>
      </w:r>
    </w:p>
    <w:p>
      <w:pPr>
        <w:pStyle w:val="ListBullet"/>
      </w:pPr>
      <w:r>
        <w:t>Known facts and immediate safety or business containment</w:t>
      </w:r>
    </w:p>
    <w:p>
      <w:pPr>
        <w:pStyle w:val="ListBullet"/>
      </w:pPr>
      <w:r>
        <w:t>Active owner and due date</w:t>
      </w:r>
    </w:p>
    <w:p>
      <w:pPr>
        <w:pStyle w:val="ListBullet"/>
      </w:pPr>
      <w:r>
        <w:t>Related lot, order, supplier, communication, and evidence references</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Open the correct case type with severity, title, factual scope, owner, due date, and known links.</w:t>
            </w:r>
          </w:p>
        </w:tc>
        <w:tc>
          <w:tcPr>
            <w:tcW w:type="dxa" w:w="3672"/>
            <w:vAlign w:val="center"/>
            <w:tcMar>
              <w:top w:w="100" w:type="dxa"/>
              <w:start w:w="110" w:type="dxa"/>
              <w:bottom w:w="100" w:type="dxa"/>
              <w:end w:w="110" w:type="dxa"/>
            </w:tcMar>
          </w:tcPr>
          <w:p>
            <w:pPr>
              <w:jc w:val="left"/>
            </w:pPr>
            <w:r>
              <w:t>Open case and creation event</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For high or critical cases, stop affected activity and record containment before progressing.</w:t>
            </w:r>
          </w:p>
        </w:tc>
        <w:tc>
          <w:tcPr>
            <w:tcW w:type="dxa" w:w="3672"/>
            <w:shd w:fill="EFF4F8"/>
            <w:vAlign w:val="center"/>
            <w:tcMar>
              <w:top w:w="100" w:type="dxa"/>
              <w:start w:w="110" w:type="dxa"/>
              <w:bottom w:w="100" w:type="dxa"/>
              <w:end w:w="110" w:type="dxa"/>
            </w:tcMar>
          </w:tcPr>
          <w:p>
            <w:pPr>
              <w:jc w:val="left"/>
            </w:pPr>
            <w:r>
              <w:t>Contained status and action detail</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For a recall, put the linked lot on hold or withdraw it first, then open the recall and identify affected orders or consignees.</w:t>
            </w:r>
          </w:p>
        </w:tc>
        <w:tc>
          <w:tcPr>
            <w:tcW w:type="dxa" w:w="3672"/>
            <w:vAlign w:val="center"/>
            <w:tcMar>
              <w:top w:w="100" w:type="dxa"/>
              <w:start w:w="110" w:type="dxa"/>
              <w:bottom w:w="100" w:type="dxa"/>
              <w:end w:w="110" w:type="dxa"/>
            </w:tcMar>
          </w:tcPr>
          <w:p>
            <w:pPr>
              <w:jc w:val="left"/>
            </w:pPr>
            <w:r>
              <w:t>Controlled lot and recall scope</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Investigate and record evidence, root cause, and the decision basis. Separate facts from assumptions.</w:t>
            </w:r>
          </w:p>
        </w:tc>
        <w:tc>
          <w:tcPr>
            <w:tcW w:type="dxa" w:w="3672"/>
            <w:shd w:fill="EFF4F8"/>
            <w:vAlign w:val="center"/>
            <w:tcMar>
              <w:top w:w="100" w:type="dxa"/>
              <w:start w:w="110" w:type="dxa"/>
              <w:bottom w:w="100" w:type="dxa"/>
              <w:end w:w="110" w:type="dxa"/>
            </w:tcMar>
          </w:tcPr>
          <w:p>
            <w:pPr>
              <w:jc w:val="left"/>
            </w:pPr>
            <w:r>
              <w:t>Investigation record</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Record corrective action and preventive action, assign implementation, and preserve communication evidence.</w:t>
            </w:r>
          </w:p>
        </w:tc>
        <w:tc>
          <w:tcPr>
            <w:tcW w:type="dxa" w:w="3672"/>
            <w:vAlign w:val="center"/>
            <w:tcMar>
              <w:top w:w="100" w:type="dxa"/>
              <w:start w:w="110" w:type="dxa"/>
              <w:bottom w:w="100" w:type="dxa"/>
              <w:end w:w="110" w:type="dxa"/>
            </w:tcMar>
          </w:tcPr>
          <w:p>
            <w:pPr>
              <w:jc w:val="left"/>
            </w:pPr>
            <w:r>
              <w:t>Action record and evidence link</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Perform an effectiveness check after action. An administrator reviews the complete record and closure summary.</w:t>
            </w:r>
          </w:p>
        </w:tc>
        <w:tc>
          <w:tcPr>
            <w:tcW w:type="dxa" w:w="3672"/>
            <w:shd w:fill="EFF4F8"/>
            <w:vAlign w:val="center"/>
            <w:tcMar>
              <w:top w:w="100" w:type="dxa"/>
              <w:start w:w="110" w:type="dxa"/>
              <w:bottom w:w="100" w:type="dxa"/>
              <w:end w:w="110" w:type="dxa"/>
            </w:tcMar>
          </w:tcPr>
          <w:p>
            <w:pPr>
              <w:jc w:val="left"/>
            </w:pPr>
            <w:r>
              <w:t>Closed case and closure event</w:t>
            </w:r>
          </w:p>
        </w:tc>
      </w:tr>
    </w:tbl>
    <w:p>
      <w:pPr>
        <w:spacing w:after="20"/>
      </w:pPr>
    </w:p>
    <w:p>
      <w:pPr>
        <w:pStyle w:val="Heading2"/>
      </w:pPr>
      <w:r>
        <w:t>Exceptions and escalation</w:t>
      </w:r>
    </w:p>
    <w:p>
      <w:pPr>
        <w:pStyle w:val="ListBullet"/>
      </w:pPr>
      <w:r>
        <w:t>Critical cases require immediate leadership notification outside the routine queue.</w:t>
      </w:r>
    </w:p>
    <w:p>
      <w:pPr>
        <w:pStyle w:val="ListBullet"/>
      </w:pPr>
      <w:r>
        <w:t>Do not close while required action or effectiveness evidence is missing.</w:t>
      </w:r>
    </w:p>
    <w:p>
      <w:pPr>
        <w:pStyle w:val="ListBullet"/>
      </w:pPr>
      <w:r>
        <w:t>Do not reopen a closed case except through administrator review.</w:t>
      </w:r>
    </w:p>
    <w:p>
      <w:pPr>
        <w:pStyle w:val="Heading2"/>
      </w:pPr>
      <w:r>
        <w:t>Completion criteria</w:t>
      </w:r>
    </w:p>
    <w:p>
      <w:pPr>
        <w:pStyle w:val="ListBullet"/>
      </w:pPr>
      <w:r>
        <w:t>Containment, root cause, correction, evidence, effectiveness, and closure are complete.</w:t>
      </w:r>
    </w:p>
    <w:p>
      <w:pPr>
        <w:pStyle w:val="ListBullet"/>
      </w:pPr>
      <w:r>
        <w:t>Affected lots, orders, suppliers, and communications are linked.</w:t>
      </w:r>
    </w:p>
    <w:p>
      <w:pPr>
        <w:pStyle w:val="ListBullet"/>
      </w:pPr>
      <w:r>
        <w:t>An administrator records closure after review.</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Cases by severity, containment time, overdue actions, recurrence, and effectiveness failures</w:t>
            </w:r>
          </w:p>
        </w:tc>
        <w:tc>
          <w:tcPr>
            <w:tcW w:type="dxa" w:w="5040"/>
            <w:vAlign w:val="center"/>
            <w:tcMar>
              <w:top w:w="100" w:type="dxa"/>
              <w:start w:w="110" w:type="dxa"/>
              <w:bottom w:w="100" w:type="dxa"/>
              <w:end w:w="110" w:type="dxa"/>
            </w:tcMar>
          </w:tcPr>
          <w:p>
            <w:pPr>
              <w:jc w:val="left"/>
            </w:pPr>
            <w:r>
              <w:t>Operational case and events, lot and order histories, evidence folder, communication log</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009 Order Payment Fulfillment Shipping and Delivery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left"/>
            </w:pPr>
            <w:r>
              <w:t>Commercial and fulfillment owners</w:t>
            </w:r>
          </w:p>
        </w:tc>
        <w:tc>
          <w:tcPr>
            <w:tcW w:type="dxa" w:w="3744"/>
            <w:vAlign w:val="center"/>
            <w:tcMar>
              <w:top w:w="100" w:type="dxa"/>
              <w:start w:w="110" w:type="dxa"/>
              <w:bottom w:w="100" w:type="dxa"/>
              <w:end w:w="110" w:type="dxa"/>
            </w:tcMar>
          </w:tcPr>
          <w:p>
            <w:pPr>
              <w:jc w:val="left"/>
            </w:pPr>
            <w:r>
              <w:t>Move an accepted order through payment, lot allocation, documents, packing, shipment, and evidenced delivery with one current owner.</w:t>
            </w:r>
          </w:p>
        </w:tc>
        <w:tc>
          <w:tcPr>
            <w:tcW w:type="dxa" w:w="4104"/>
            <w:vAlign w:val="center"/>
            <w:tcMar>
              <w:top w:w="100" w:type="dxa"/>
              <w:start w:w="110" w:type="dxa"/>
              <w:bottom w:w="100" w:type="dxa"/>
              <w:end w:w="110" w:type="dxa"/>
            </w:tcMar>
          </w:tcPr>
          <w:p>
            <w:pPr>
              <w:jc w:val="left"/>
            </w:pPr>
            <w:r>
              <w:t>Submitted through delivered orders, including USPS, UPS, and FedEx through the configured shipping provider.</w:t>
            </w:r>
          </w:p>
        </w:tc>
      </w:tr>
    </w:tbl>
    <w:p>
      <w:pPr>
        <w:spacing w:after="20"/>
      </w:pPr>
    </w:p>
    <w:p>
      <w:pPr>
        <w:pStyle w:val="Heading2"/>
      </w:pPr>
      <w:r>
        <w:t>Prerequisites</w:t>
      </w:r>
    </w:p>
    <w:p>
      <w:pPr>
        <w:pStyle w:val="ListBullet"/>
      </w:pPr>
      <w:r>
        <w:t>Approved customer eligibility and commercial terms</w:t>
      </w:r>
    </w:p>
    <w:p>
      <w:pPr>
        <w:pStyle w:val="ListBullet"/>
      </w:pPr>
      <w:r>
        <w:t>Accepted server calculated quote and valid stock reservation</w:t>
      </w:r>
    </w:p>
    <w:p>
      <w:pPr>
        <w:pStyle w:val="ListBullet"/>
      </w:pPr>
      <w:r>
        <w:t>Released lot, approved origin and parcel profile, and live provider evidence before production</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Claim or assign the order and set the next service deadline.</w:t>
            </w:r>
          </w:p>
        </w:tc>
        <w:tc>
          <w:tcPr>
            <w:tcW w:type="dxa" w:w="3672"/>
            <w:vAlign w:val="center"/>
            <w:tcMar>
              <w:top w:w="100" w:type="dxa"/>
              <w:start w:w="110" w:type="dxa"/>
              <w:bottom w:w="100" w:type="dxa"/>
              <w:end w:w="110" w:type="dxa"/>
            </w:tcMar>
          </w:tcPr>
          <w:p>
            <w:pPr>
              <w:jc w:val="left"/>
            </w:pPr>
            <w:r>
              <w:t>Owner, due time, and handoff event</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Confirm immutable order totals, accepted shipping quote, customer details, and payment status. Do not prepare on pending or failed payment.</w:t>
            </w:r>
          </w:p>
        </w:tc>
        <w:tc>
          <w:tcPr>
            <w:tcW w:type="dxa" w:w="3672"/>
            <w:shd w:fill="EFF4F8"/>
            <w:vAlign w:val="center"/>
            <w:tcMar>
              <w:top w:w="100" w:type="dxa"/>
              <w:start w:w="110" w:type="dxa"/>
              <w:bottom w:w="100" w:type="dxa"/>
              <w:end w:w="110" w:type="dxa"/>
            </w:tcMar>
          </w:tcPr>
          <w:p>
            <w:pPr>
              <w:jc w:val="left"/>
            </w:pPr>
            <w:r>
              <w:t>Order ready for fulfillment</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Record or reconcile payment only from approved evidence. Resolve failed attempts before proceeding.</w:t>
            </w:r>
          </w:p>
        </w:tc>
        <w:tc>
          <w:tcPr>
            <w:tcW w:type="dxa" w:w="3672"/>
            <w:vAlign w:val="center"/>
            <w:tcMar>
              <w:top w:w="100" w:type="dxa"/>
              <w:start w:w="110" w:type="dxa"/>
              <w:bottom w:w="100" w:type="dxa"/>
              <w:end w:w="110" w:type="dxa"/>
            </w:tcMar>
          </w:tcPr>
          <w:p>
            <w:pPr>
              <w:jc w:val="left"/>
            </w:pPr>
            <w:r>
              <w:t>Paid status and payment event</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Select eligible released lots and begin preparation. Confirm the reservation is current.</w:t>
            </w:r>
          </w:p>
        </w:tc>
        <w:tc>
          <w:tcPr>
            <w:tcW w:type="dxa" w:w="3672"/>
            <w:shd w:fill="EFF4F8"/>
            <w:vAlign w:val="center"/>
            <w:tcMar>
              <w:top w:w="100" w:type="dxa"/>
              <w:start w:w="110" w:type="dxa"/>
              <w:bottom w:w="100" w:type="dxa"/>
              <w:end w:w="110" w:type="dxa"/>
            </w:tcMar>
          </w:tcPr>
          <w:p>
            <w:pPr>
              <w:jc w:val="left"/>
            </w:pPr>
            <w:r>
              <w:t>Lot allocation and fulfilling status</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Perform packing checks, confirm the final dimensions and weight, and issue the packing slip and invoice when their blockers are clear.</w:t>
            </w:r>
          </w:p>
        </w:tc>
        <w:tc>
          <w:tcPr>
            <w:tcW w:type="dxa" w:w="3672"/>
            <w:vAlign w:val="center"/>
            <w:tcMar>
              <w:top w:w="100" w:type="dxa"/>
              <w:start w:w="110" w:type="dxa"/>
              <w:bottom w:w="100" w:type="dxa"/>
              <w:end w:w="110" w:type="dxa"/>
            </w:tcMar>
          </w:tcPr>
          <w:p>
            <w:pPr>
              <w:jc w:val="left"/>
            </w:pPr>
            <w:r>
              <w:t>Packed parcel and issued documents</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Choose the approved ship from location and retrieve configured USPS, UPS, and FedEx rates. Select only an allowed service and buy one label through the recorded quote.</w:t>
            </w:r>
          </w:p>
        </w:tc>
        <w:tc>
          <w:tcPr>
            <w:tcW w:type="dxa" w:w="3672"/>
            <w:shd w:fill="EFF4F8"/>
            <w:vAlign w:val="center"/>
            <w:tcMar>
              <w:top w:w="100" w:type="dxa"/>
              <w:start w:w="110" w:type="dxa"/>
              <w:bottom w:w="100" w:type="dxa"/>
              <w:end w:w="110" w:type="dxa"/>
            </w:tcMar>
          </w:tcPr>
          <w:p>
            <w:pPr>
              <w:jc w:val="left"/>
            </w:pPr>
            <w:r>
              <w:t>Origin specific rate quote and one active label</w:t>
            </w:r>
          </w:p>
        </w:tc>
      </w:tr>
      <w:tr>
        <w:trPr>
          <w:cantSplit/>
        </w:trPr>
        <w:tc>
          <w:tcPr>
            <w:tcW w:type="dxa" w:w="792"/>
            <w:vAlign w:val="center"/>
            <w:tcMar>
              <w:top w:w="100" w:type="dxa"/>
              <w:start w:w="110" w:type="dxa"/>
              <w:bottom w:w="100" w:type="dxa"/>
              <w:end w:w="110" w:type="dxa"/>
            </w:tcMar>
          </w:tcPr>
          <w:p>
            <w:pPr>
              <w:jc w:val="center"/>
            </w:pPr>
            <w:r>
              <w:t>7</w:t>
            </w:r>
          </w:p>
        </w:tc>
        <w:tc>
          <w:tcPr>
            <w:tcW w:type="dxa" w:w="5256"/>
            <w:vAlign w:val="center"/>
            <w:tcMar>
              <w:top w:w="100" w:type="dxa"/>
              <w:start w:w="110" w:type="dxa"/>
              <w:bottom w:w="100" w:type="dxa"/>
              <w:end w:w="110" w:type="dxa"/>
            </w:tcMar>
          </w:tcPr>
          <w:p>
            <w:pPr>
              <w:jc w:val="left"/>
            </w:pPr>
            <w:r>
              <w:t>If the label is wrong and has not been tendered, enter the cancellation reason and request the refund once. Keep the parcel blocked while pending. Use Check refund status for recovery; never submit another provider refund request.</w:t>
            </w:r>
          </w:p>
        </w:tc>
        <w:tc>
          <w:tcPr>
            <w:tcW w:type="dxa" w:w="3672"/>
            <w:vAlign w:val="center"/>
            <w:tcMar>
              <w:top w:w="100" w:type="dxa"/>
              <w:start w:w="110" w:type="dxa"/>
              <w:bottom w:w="100" w:type="dxa"/>
              <w:end w:w="110" w:type="dxa"/>
            </w:tcMar>
          </w:tcPr>
          <w:p>
            <w:pPr>
              <w:jc w:val="left"/>
            </w:pPr>
            <w:r>
              <w:t>Refund status and preserved label history</w:t>
            </w:r>
          </w:p>
        </w:tc>
      </w:tr>
      <w:tr>
        <w:trPr>
          <w:cantSplit/>
        </w:trPr>
        <w:tc>
          <w:tcPr>
            <w:tcW w:type="dxa" w:w="792"/>
            <w:shd w:fill="EFF4F8"/>
            <w:vAlign w:val="center"/>
            <w:tcMar>
              <w:top w:w="100" w:type="dxa"/>
              <w:start w:w="110" w:type="dxa"/>
              <w:bottom w:w="100" w:type="dxa"/>
              <w:end w:w="110" w:type="dxa"/>
            </w:tcMar>
          </w:tcPr>
          <w:p>
            <w:pPr>
              <w:jc w:val="center"/>
            </w:pPr>
            <w:r>
              <w:t>8</w:t>
            </w:r>
          </w:p>
        </w:tc>
        <w:tc>
          <w:tcPr>
            <w:tcW w:type="dxa" w:w="5256"/>
            <w:shd w:fill="EFF4F8"/>
            <w:vAlign w:val="center"/>
            <w:tcMar>
              <w:top w:w="100" w:type="dxa"/>
              <w:start w:w="110" w:type="dxa"/>
              <w:bottom w:w="100" w:type="dxa"/>
              <w:end w:w="110" w:type="dxa"/>
            </w:tcMar>
          </w:tcPr>
          <w:p>
            <w:pPr>
              <w:jc w:val="left"/>
            </w:pPr>
            <w:r>
              <w:t>Create a replacement only after the prior label is confirmed voided. Record carrier handoff and tracking, move the order to shipped, and send the durable customer notice.</w:t>
            </w:r>
          </w:p>
        </w:tc>
        <w:tc>
          <w:tcPr>
            <w:tcW w:type="dxa" w:w="3672"/>
            <w:shd w:fill="EFF4F8"/>
            <w:vAlign w:val="center"/>
            <w:tcMar>
              <w:top w:w="100" w:type="dxa"/>
              <w:start w:w="110" w:type="dxa"/>
              <w:bottom w:w="100" w:type="dxa"/>
              <w:end w:w="110" w:type="dxa"/>
            </w:tcMar>
          </w:tcPr>
          <w:p>
            <w:pPr>
              <w:jc w:val="left"/>
            </w:pPr>
            <w:r>
              <w:t>Shipment movement, tracking, order event, notice</w:t>
            </w:r>
          </w:p>
        </w:tc>
      </w:tr>
      <w:tr>
        <w:trPr>
          <w:cantSplit/>
        </w:trPr>
        <w:tc>
          <w:tcPr>
            <w:tcW w:type="dxa" w:w="792"/>
            <w:vAlign w:val="center"/>
            <w:tcMar>
              <w:top w:w="100" w:type="dxa"/>
              <w:start w:w="110" w:type="dxa"/>
              <w:bottom w:w="100" w:type="dxa"/>
              <w:end w:w="110" w:type="dxa"/>
            </w:tcMar>
          </w:tcPr>
          <w:p>
            <w:pPr>
              <w:jc w:val="center"/>
            </w:pPr>
            <w:r>
              <w:t>9</w:t>
            </w:r>
          </w:p>
        </w:tc>
        <w:tc>
          <w:tcPr>
            <w:tcW w:type="dxa" w:w="5256"/>
            <w:vAlign w:val="center"/>
            <w:tcMar>
              <w:top w:w="100" w:type="dxa"/>
              <w:start w:w="110" w:type="dxa"/>
              <w:bottom w:w="100" w:type="dxa"/>
              <w:end w:w="110" w:type="dxa"/>
            </w:tcMar>
          </w:tcPr>
          <w:p>
            <w:pPr>
              <w:jc w:val="left"/>
            </w:pPr>
            <w:r>
              <w:t>Monitor tracking and record delivery only from a carrier event, scan, signed receipt, or equivalent evidence. Queue the delivery notice. Open a case for loss, damage, or a shipment that misses the approved delivery threshold.</w:t>
            </w:r>
          </w:p>
        </w:tc>
        <w:tc>
          <w:tcPr>
            <w:tcW w:type="dxa" w:w="3672"/>
            <w:vAlign w:val="center"/>
            <w:tcMar>
              <w:top w:w="100" w:type="dxa"/>
              <w:start w:w="110" w:type="dxa"/>
              <w:bottom w:w="100" w:type="dxa"/>
              <w:end w:w="110" w:type="dxa"/>
            </w:tcMar>
          </w:tcPr>
          <w:p>
            <w:pPr>
              <w:jc w:val="left"/>
            </w:pPr>
            <w:r>
              <w:t>Delivered date, evidence, order event, notice or open exception</w:t>
            </w:r>
          </w:p>
        </w:tc>
      </w:tr>
    </w:tbl>
    <w:p>
      <w:pPr>
        <w:spacing w:after="20"/>
      </w:pPr>
    </w:p>
    <w:p>
      <w:pPr>
        <w:pStyle w:val="Heading2"/>
      </w:pPr>
      <w:r>
        <w:t>Exceptions and escalation</w:t>
      </w:r>
    </w:p>
    <w:p>
      <w:pPr>
        <w:pStyle w:val="ListBullet"/>
      </w:pPr>
      <w:r>
        <w:t>Do not use simulated rates, tax, payment, or email as production evidence.</w:t>
      </w:r>
    </w:p>
    <w:p>
      <w:pPr>
        <w:pStyle w:val="ListBullet"/>
      </w:pPr>
      <w:r>
        <w:t>Do not ship a held, withdrawn, expired, exhausted, or inadequately reserved lot.</w:t>
      </w:r>
    </w:p>
    <w:p>
      <w:pPr>
        <w:pStyle w:val="ListBullet"/>
      </w:pPr>
      <w:r>
        <w:t>Do not retry an uncertain label purchase or refund; use the app reconciliation control and compare the order history with Shippo.</w:t>
      </w:r>
    </w:p>
    <w:p>
      <w:pPr>
        <w:pStyle w:val="ListBullet"/>
      </w:pPr>
      <w:r>
        <w:t>An active or unresolved label blocks order cancellation and replacement.</w:t>
      </w:r>
    </w:p>
    <w:p>
      <w:pPr>
        <w:pStyle w:val="ListBullet"/>
      </w:pPr>
      <w:r>
        <w:t>Open a case for lost packages, material damage, dangerous goods uncertainty, duplicate provider records, or other provider inconsistencies.</w:t>
      </w:r>
    </w:p>
    <w:p>
      <w:pPr>
        <w:pStyle w:val="Heading2"/>
      </w:pPr>
      <w:r>
        <w:t>Completion criteria</w:t>
      </w:r>
    </w:p>
    <w:p>
      <w:pPr>
        <w:pStyle w:val="ListBullet"/>
      </w:pPr>
      <w:r>
        <w:t>Payment, lot, quantities, documents, selected origin, label history, tracking, delivery evidence, and order totals reconcile.</w:t>
      </w:r>
    </w:p>
    <w:p>
      <w:pPr>
        <w:pStyle w:val="ListBullet"/>
      </w:pPr>
      <w:r>
        <w:t>Every cancelled label has a reason, requester, provider refund reference, and confirmed final status.</w:t>
      </w:r>
    </w:p>
    <w:p>
      <w:pPr>
        <w:pStyle w:val="ListBullet"/>
      </w:pPr>
      <w:r>
        <w:t>Customer notification is delivered or assigned for recovery.</w:t>
      </w:r>
    </w:p>
    <w:p>
      <w:pPr>
        <w:pStyle w:val="ListBullet"/>
      </w:pPr>
      <w:r>
        <w:t>The order has delivery evidence or an owned exception for the undelivered shipment.</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Time to owner, payment exceptions, pick and pack time, labels by origin, label failures, pending refunds, on time handoff, and delivery exceptions</w:t>
            </w:r>
          </w:p>
        </w:tc>
        <w:tc>
          <w:tcPr>
            <w:tcW w:type="dxa" w:w="5040"/>
            <w:vAlign w:val="center"/>
            <w:tcMar>
              <w:top w:w="100" w:type="dxa"/>
              <w:start w:w="110" w:type="dxa"/>
              <w:bottom w:w="100" w:type="dxa"/>
              <w:end w:w="110" w:type="dxa"/>
            </w:tcMar>
          </w:tcPr>
          <w:p>
            <w:pPr>
              <w:jc w:val="left"/>
            </w:pPr>
            <w:r>
              <w:t>Order and events, payment attempts, reservations, origin specific quotes, label and refund history, movements, issued documents, notices</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010 Returns Refunds and Customer Complaints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left"/>
            </w:pPr>
            <w:r>
              <w:t>Customer service and finance owners</w:t>
            </w:r>
          </w:p>
        </w:tc>
        <w:tc>
          <w:tcPr>
            <w:tcW w:type="dxa" w:w="3744"/>
            <w:vAlign w:val="center"/>
            <w:tcMar>
              <w:top w:w="100" w:type="dxa"/>
              <w:start w:w="110" w:type="dxa"/>
              <w:bottom w:w="100" w:type="dxa"/>
              <w:end w:w="110" w:type="dxa"/>
            </w:tcMar>
          </w:tcPr>
          <w:p>
            <w:pPr>
              <w:jc w:val="left"/>
            </w:pPr>
            <w:r>
              <w:t>Resolve customer problems while keeping money, material, and communication records aligned.</w:t>
            </w:r>
          </w:p>
        </w:tc>
        <w:tc>
          <w:tcPr>
            <w:tcW w:type="dxa" w:w="4104"/>
            <w:vAlign w:val="center"/>
            <w:tcMar>
              <w:top w:w="100" w:type="dxa"/>
              <w:start w:w="110" w:type="dxa"/>
              <w:bottom w:w="100" w:type="dxa"/>
              <w:end w:w="110" w:type="dxa"/>
            </w:tcMar>
          </w:tcPr>
          <w:p>
            <w:pPr>
              <w:jc w:val="left"/>
            </w:pPr>
            <w:r>
              <w:t>Feedback, returns, quarantined returned material, refund obligations, payment evidence, and complaint cases.</w:t>
            </w:r>
          </w:p>
        </w:tc>
      </w:tr>
    </w:tbl>
    <w:p>
      <w:pPr>
        <w:spacing w:after="20"/>
      </w:pPr>
    </w:p>
    <w:p>
      <w:pPr>
        <w:pStyle w:val="Heading2"/>
      </w:pPr>
      <w:r>
        <w:t>Prerequisites</w:t>
      </w:r>
    </w:p>
    <w:p>
      <w:pPr>
        <w:pStyle w:val="ListBullet"/>
      </w:pPr>
      <w:r>
        <w:t>Authenticated staff access</w:t>
      </w:r>
    </w:p>
    <w:p>
      <w:pPr>
        <w:pStyle w:val="ListBullet"/>
      </w:pPr>
      <w:r>
        <w:t>Order and payment records</w:t>
      </w:r>
    </w:p>
    <w:p>
      <w:pPr>
        <w:pStyle w:val="ListBullet"/>
      </w:pPr>
      <w:r>
        <w:t>Approved return, refund, and communication policy</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Acknowledge feedback and assign a current owner. Link the order when known.</w:t>
            </w:r>
          </w:p>
        </w:tc>
        <w:tc>
          <w:tcPr>
            <w:tcW w:type="dxa" w:w="3672"/>
            <w:vAlign w:val="center"/>
            <w:tcMar>
              <w:top w:w="100" w:type="dxa"/>
              <w:start w:w="110" w:type="dxa"/>
              <w:bottom w:w="100" w:type="dxa"/>
              <w:end w:w="110" w:type="dxa"/>
            </w:tcMar>
          </w:tcPr>
          <w:p>
            <w:pPr>
              <w:jc w:val="left"/>
            </w:pPr>
            <w:r>
              <w:t>Owned feedback record</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Classify quality, safety, delivery, documentation, commercial, or technical impact. Open a complaint case when investigation is required.</w:t>
            </w:r>
          </w:p>
        </w:tc>
        <w:tc>
          <w:tcPr>
            <w:tcW w:type="dxa" w:w="3672"/>
            <w:shd w:fill="EFF4F8"/>
            <w:vAlign w:val="center"/>
            <w:tcMar>
              <w:top w:w="100" w:type="dxa"/>
              <w:start w:w="110" w:type="dxa"/>
              <w:bottom w:w="100" w:type="dxa"/>
              <w:end w:w="110" w:type="dxa"/>
            </w:tcMar>
          </w:tcPr>
          <w:p>
            <w:pPr>
              <w:jc w:val="left"/>
            </w:pPr>
            <w:r>
              <w:t>Case and escalation path</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Authorize a return only under approved policy. On receipt, inspect and quarantine returned material; never add it to sellable stock.</w:t>
            </w:r>
          </w:p>
        </w:tc>
        <w:tc>
          <w:tcPr>
            <w:tcW w:type="dxa" w:w="3672"/>
            <w:vAlign w:val="center"/>
            <w:tcMar>
              <w:top w:w="100" w:type="dxa"/>
              <w:start w:w="110" w:type="dxa"/>
              <w:bottom w:w="100" w:type="dxa"/>
              <w:end w:w="110" w:type="dxa"/>
            </w:tcMar>
          </w:tcPr>
          <w:p>
            <w:pPr>
              <w:jc w:val="left"/>
            </w:pPr>
            <w:r>
              <w:t>Return event and quarantined movement</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Calculate the recorded refund obligation from the order and returned lines. Obtain the required commercial or finance approval.</w:t>
            </w:r>
          </w:p>
        </w:tc>
        <w:tc>
          <w:tcPr>
            <w:tcW w:type="dxa" w:w="3672"/>
            <w:shd w:fill="EFF4F8"/>
            <w:vAlign w:val="center"/>
            <w:tcMar>
              <w:top w:w="100" w:type="dxa"/>
              <w:start w:w="110" w:type="dxa"/>
              <w:bottom w:w="100" w:type="dxa"/>
              <w:end w:w="110" w:type="dxa"/>
            </w:tcMar>
          </w:tcPr>
          <w:p>
            <w:pPr>
              <w:jc w:val="left"/>
            </w:pPr>
            <w:r>
              <w:t>Refund due amount</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Send the refund through the approved rail, then record the actual amount and provider or bank reference.</w:t>
            </w:r>
          </w:p>
        </w:tc>
        <w:tc>
          <w:tcPr>
            <w:tcW w:type="dxa" w:w="3672"/>
            <w:vAlign w:val="center"/>
            <w:tcMar>
              <w:top w:w="100" w:type="dxa"/>
              <w:start w:w="110" w:type="dxa"/>
              <w:bottom w:w="100" w:type="dxa"/>
              <w:end w:w="110" w:type="dxa"/>
            </w:tcMar>
          </w:tcPr>
          <w:p>
            <w:pPr>
              <w:jc w:val="left"/>
            </w:pPr>
            <w:r>
              <w:t>Refund evidence and reconciled status</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Tell the customer the result through the controlled communication path and close feedback only when the case and money records agree.</w:t>
            </w:r>
          </w:p>
        </w:tc>
        <w:tc>
          <w:tcPr>
            <w:tcW w:type="dxa" w:w="3672"/>
            <w:shd w:fill="EFF4F8"/>
            <w:vAlign w:val="center"/>
            <w:tcMar>
              <w:top w:w="100" w:type="dxa"/>
              <w:start w:w="110" w:type="dxa"/>
              <w:bottom w:w="100" w:type="dxa"/>
              <w:end w:w="110" w:type="dxa"/>
            </w:tcMar>
          </w:tcPr>
          <w:p>
            <w:pPr>
              <w:jc w:val="left"/>
            </w:pPr>
            <w:r>
              <w:t>Communication and closure history</w:t>
            </w:r>
          </w:p>
        </w:tc>
      </w:tr>
    </w:tbl>
    <w:p>
      <w:pPr>
        <w:spacing w:after="20"/>
      </w:pPr>
    </w:p>
    <w:p>
      <w:pPr>
        <w:pStyle w:val="Heading2"/>
      </w:pPr>
      <w:r>
        <w:t>Exceptions and escalation</w:t>
      </w:r>
    </w:p>
    <w:p>
      <w:pPr>
        <w:pStyle w:val="ListBullet"/>
      </w:pPr>
      <w:r>
        <w:t>Do not mark refunded before money has moved.</w:t>
      </w:r>
    </w:p>
    <w:p>
      <w:pPr>
        <w:pStyle w:val="ListBullet"/>
      </w:pPr>
      <w:r>
        <w:t>Do not return received material to released inventory.</w:t>
      </w:r>
    </w:p>
    <w:p>
      <w:pPr>
        <w:pStyle w:val="ListBullet"/>
      </w:pPr>
      <w:r>
        <w:t>Escalate safety, identity, contamination, repeat complaint, chargeback, or legal threat as a case.</w:t>
      </w:r>
    </w:p>
    <w:p>
      <w:pPr>
        <w:pStyle w:val="Heading2"/>
      </w:pPr>
      <w:r>
        <w:t>Completion criteria</w:t>
      </w:r>
    </w:p>
    <w:p>
      <w:pPr>
        <w:pStyle w:val="ListBullet"/>
      </w:pPr>
      <w:r>
        <w:t>Customer, order, return, refund, and case records agree.</w:t>
      </w:r>
    </w:p>
    <w:p>
      <w:pPr>
        <w:pStyle w:val="ListBullet"/>
      </w:pPr>
      <w:r>
        <w:t>Refund reference and outstanding balance reconcile.</w:t>
      </w:r>
    </w:p>
    <w:p>
      <w:pPr>
        <w:pStyle w:val="ListBullet"/>
      </w:pPr>
      <w:r>
        <w:t>Closure communication and evidence are attributable.</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First response time, overdue complaints, return cycle time, refund outstanding, recurrence, and chargebacks</w:t>
            </w:r>
          </w:p>
        </w:tc>
        <w:tc>
          <w:tcPr>
            <w:tcW w:type="dxa" w:w="5040"/>
            <w:vAlign w:val="center"/>
            <w:tcMar>
              <w:top w:w="100" w:type="dxa"/>
              <w:start w:w="110" w:type="dxa"/>
              <w:bottom w:w="100" w:type="dxa"/>
              <w:end w:w="110" w:type="dxa"/>
            </w:tcMar>
          </w:tcPr>
          <w:p>
            <w:pPr>
              <w:jc w:val="left"/>
            </w:pPr>
            <w:r>
              <w:t>Feedback, case, order events, return movement, refund reference, payment settlement, notices</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011 Period Reporting and Month End Review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left"/>
            </w:pPr>
            <w:r>
              <w:t>Bookkeeping and finance reviewer</w:t>
            </w:r>
          </w:p>
        </w:tc>
        <w:tc>
          <w:tcPr>
            <w:tcW w:type="dxa" w:w="3744"/>
            <w:vAlign w:val="center"/>
            <w:tcMar>
              <w:top w:w="100" w:type="dxa"/>
              <w:start w:w="110" w:type="dxa"/>
              <w:bottom w:w="100" w:type="dxa"/>
              <w:end w:w="110" w:type="dxa"/>
            </w:tcMar>
          </w:tcPr>
          <w:p>
            <w:pPr>
              <w:jc w:val="left"/>
            </w:pPr>
            <w:r>
              <w:t>Produce period defined operational reports and reconcile them to external financial evidence.</w:t>
            </w:r>
          </w:p>
        </w:tc>
        <w:tc>
          <w:tcPr>
            <w:tcW w:type="dxa" w:w="4104"/>
            <w:vAlign w:val="center"/>
            <w:tcMar>
              <w:top w:w="100" w:type="dxa"/>
              <w:start w:w="110" w:type="dxa"/>
              <w:bottom w:w="100" w:type="dxa"/>
              <w:end w:w="110" w:type="dxa"/>
            </w:tcMar>
          </w:tcPr>
          <w:p>
            <w:pPr>
              <w:jc w:val="left"/>
            </w:pPr>
            <w:r>
              <w:t>Orders, revenue, refunds, movements, inventory snapshot, settlements, AP, AR, tax, and close evidence.</w:t>
            </w:r>
          </w:p>
        </w:tc>
      </w:tr>
    </w:tbl>
    <w:p>
      <w:pPr>
        <w:spacing w:after="20"/>
      </w:pPr>
    </w:p>
    <w:p>
      <w:pPr>
        <w:pStyle w:val="Heading2"/>
      </w:pPr>
      <w:r>
        <w:t>Prerequisites</w:t>
      </w:r>
    </w:p>
    <w:p>
      <w:pPr>
        <w:pStyle w:val="ListBullet"/>
      </w:pPr>
      <w:r>
        <w:t>Approved close calendar and accounting mappings</w:t>
      </w:r>
    </w:p>
    <w:p>
      <w:pPr>
        <w:pStyle w:val="ListBullet"/>
      </w:pPr>
      <w:r>
        <w:t>Bank and provider statements</w:t>
      </w:r>
    </w:p>
    <w:p>
      <w:pPr>
        <w:pStyle w:val="ListBullet"/>
      </w:pPr>
      <w:r>
        <w:t>All period transactions, returns, refunds, receipts, and adjustments recorded</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Set the report From and Through dates. Confirm the period before downloading.</w:t>
            </w:r>
          </w:p>
        </w:tc>
        <w:tc>
          <w:tcPr>
            <w:tcW w:type="dxa" w:w="3672"/>
            <w:vAlign w:val="center"/>
            <w:tcMar>
              <w:top w:w="100" w:type="dxa"/>
              <w:start w:w="110" w:type="dxa"/>
              <w:bottom w:w="100" w:type="dxa"/>
              <w:end w:w="110" w:type="dxa"/>
            </w:tcMar>
          </w:tcPr>
          <w:p>
            <w:pPr>
              <w:jc w:val="left"/>
            </w:pPr>
            <w:r>
              <w:t>Defined UTC reporting period</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Download Orders and Movement Ledger CSVs. Save the current Inventory by Lot snapshot separately with its extraction time.</w:t>
            </w:r>
          </w:p>
        </w:tc>
        <w:tc>
          <w:tcPr>
            <w:tcW w:type="dxa" w:w="3672"/>
            <w:shd w:fill="EFF4F8"/>
            <w:vAlign w:val="center"/>
            <w:tcMar>
              <w:top w:w="100" w:type="dxa"/>
              <w:start w:w="110" w:type="dxa"/>
              <w:bottom w:w="100" w:type="dxa"/>
              <w:end w:w="110" w:type="dxa"/>
            </w:tcMar>
          </w:tcPr>
          <w:p>
            <w:pPr>
              <w:jc w:val="left"/>
            </w:pPr>
            <w:r>
              <w:t>Dated source exports</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Reconcile order totals, shipping, refunds, outstanding refunds, and allocated costs to the application detail.</w:t>
            </w:r>
          </w:p>
        </w:tc>
        <w:tc>
          <w:tcPr>
            <w:tcW w:type="dxa" w:w="3672"/>
            <w:vAlign w:val="center"/>
            <w:tcMar>
              <w:top w:w="100" w:type="dxa"/>
              <w:start w:w="110" w:type="dxa"/>
              <w:bottom w:w="100" w:type="dxa"/>
              <w:end w:w="110" w:type="dxa"/>
            </w:tcMar>
          </w:tcPr>
          <w:p>
            <w:pPr>
              <w:jc w:val="left"/>
            </w:pPr>
            <w:r>
              <w:t>Sales and refund reconciliation</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Reconcile payment settlements and bank deposits to paid orders and recorded refunds.</w:t>
            </w:r>
          </w:p>
        </w:tc>
        <w:tc>
          <w:tcPr>
            <w:tcW w:type="dxa" w:w="3672"/>
            <w:shd w:fill="EFF4F8"/>
            <w:vAlign w:val="center"/>
            <w:tcMar>
              <w:top w:w="100" w:type="dxa"/>
              <w:start w:w="110" w:type="dxa"/>
              <w:bottom w:w="100" w:type="dxa"/>
              <w:end w:w="110" w:type="dxa"/>
            </w:tcMar>
          </w:tcPr>
          <w:p>
            <w:pPr>
              <w:jc w:val="left"/>
            </w:pPr>
            <w:r>
              <w:t>Provider and bank reconciliation</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Match supplier invoices to POs and receipts. Record AP, AR, tax, inventory, and unresolved exceptions in the approved accounting system.</w:t>
            </w:r>
          </w:p>
        </w:tc>
        <w:tc>
          <w:tcPr>
            <w:tcW w:type="dxa" w:w="3672"/>
            <w:vAlign w:val="center"/>
            <w:tcMar>
              <w:top w:w="100" w:type="dxa"/>
              <w:start w:w="110" w:type="dxa"/>
              <w:bottom w:w="100" w:type="dxa"/>
              <w:end w:w="110" w:type="dxa"/>
            </w:tcMar>
          </w:tcPr>
          <w:p>
            <w:pPr>
              <w:jc w:val="left"/>
            </w:pPr>
            <w:r>
              <w:t>Close schedules</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Open a case for unexplained variance. Reviewer signs the close checklist only after exceptions are resolved or explicitly accepted.</w:t>
            </w:r>
          </w:p>
        </w:tc>
        <w:tc>
          <w:tcPr>
            <w:tcW w:type="dxa" w:w="3672"/>
            <w:shd w:fill="EFF4F8"/>
            <w:vAlign w:val="center"/>
            <w:tcMar>
              <w:top w:w="100" w:type="dxa"/>
              <w:start w:w="110" w:type="dxa"/>
              <w:bottom w:w="100" w:type="dxa"/>
              <w:end w:w="110" w:type="dxa"/>
            </w:tcMar>
          </w:tcPr>
          <w:p>
            <w:pPr>
              <w:jc w:val="left"/>
            </w:pPr>
            <w:r>
              <w:t>Reviewed close evidence</w:t>
            </w:r>
          </w:p>
        </w:tc>
      </w:tr>
    </w:tbl>
    <w:p>
      <w:pPr>
        <w:spacing w:after="20"/>
      </w:pPr>
    </w:p>
    <w:p>
      <w:pPr>
        <w:pStyle w:val="Heading2"/>
      </w:pPr>
      <w:r>
        <w:t>Exceptions and escalation</w:t>
      </w:r>
    </w:p>
    <w:p>
      <w:pPr>
        <w:pStyle w:val="ListBullet"/>
      </w:pPr>
      <w:r>
        <w:t>Orders are selected by submission date; movements by occurrence date; inventory is a current snapshot.</w:t>
      </w:r>
    </w:p>
    <w:p>
      <w:pPr>
        <w:pStyle w:val="ListBullet"/>
      </w:pPr>
      <w:r>
        <w:t>Do not treat application reports as a general ledger or tax filing system.</w:t>
      </w:r>
    </w:p>
    <w:p>
      <w:pPr>
        <w:pStyle w:val="ListBullet"/>
      </w:pPr>
      <w:r>
        <w:t>Do not net unexplained differences into an adjustment without investigation and approval.</w:t>
      </w:r>
    </w:p>
    <w:p>
      <w:pPr>
        <w:pStyle w:val="Heading2"/>
      </w:pPr>
      <w:r>
        <w:t>Completion criteria</w:t>
      </w:r>
    </w:p>
    <w:p>
      <w:pPr>
        <w:pStyle w:val="ListBullet"/>
      </w:pPr>
      <w:r>
        <w:t>Exports and external statements reconcile to approved books.</w:t>
      </w:r>
    </w:p>
    <w:p>
      <w:pPr>
        <w:pStyle w:val="ListBullet"/>
      </w:pPr>
      <w:r>
        <w:t>Refund, settlement, AP, AR, inventory, and tax exceptions have owners.</w:t>
      </w:r>
    </w:p>
    <w:p>
      <w:pPr>
        <w:pStyle w:val="ListBullet"/>
      </w:pPr>
      <w:r>
        <w:t>Reviewer and completion date are recorded.</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Days to close, unreconciled items, refund outstanding, inventory variance, and late supplier invoices</w:t>
            </w:r>
          </w:p>
        </w:tc>
        <w:tc>
          <w:tcPr>
            <w:tcW w:type="dxa" w:w="5040"/>
            <w:vAlign w:val="center"/>
            <w:tcMar>
              <w:top w:w="100" w:type="dxa"/>
              <w:start w:w="110" w:type="dxa"/>
              <w:bottom w:w="100" w:type="dxa"/>
              <w:end w:w="110" w:type="dxa"/>
            </w:tcMar>
          </w:tcPr>
          <w:p>
            <w:pPr>
              <w:jc w:val="left"/>
            </w:pPr>
            <w:r>
              <w:t>Period CSVs, inventory snapshot, statements, reconciliation, case records, close checklist</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p>
      <w:r>
        <w:br w:type="page"/>
      </w:r>
    </w:p>
    <w:p>
      <w:pPr>
        <w:pStyle w:val="Heading1"/>
      </w:pPr>
      <w:r>
        <w:t>SOP 012 Customer Notices and Service Recovery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1872"/>
            <w:shd w:fill="17365D"/>
            <w:vAlign w:val="center"/>
            <w:tcMar>
              <w:top w:w="100" w:type="dxa"/>
              <w:start w:w="110" w:type="dxa"/>
              <w:bottom w:w="100" w:type="dxa"/>
              <w:end w:w="110" w:type="dxa"/>
            </w:tcMar>
          </w:tcPr>
          <w:p>
            <w:pPr>
              <w:jc w:val="center"/>
            </w:pPr>
            <w:r>
              <w:rPr>
                <w:b/>
                <w:color w:val="FFFFFF"/>
                <w:sz w:val="18"/>
              </w:rPr>
              <w:t>Owner</w:t>
            </w:r>
          </w:p>
        </w:tc>
        <w:tc>
          <w:tcPr>
            <w:tcW w:type="dxa" w:w="3744"/>
            <w:shd w:fill="17365D"/>
            <w:vAlign w:val="center"/>
            <w:tcMar>
              <w:top w:w="100" w:type="dxa"/>
              <w:start w:w="110" w:type="dxa"/>
              <w:bottom w:w="100" w:type="dxa"/>
              <w:end w:w="110" w:type="dxa"/>
            </w:tcMar>
          </w:tcPr>
          <w:p>
            <w:pPr>
              <w:jc w:val="center"/>
            </w:pPr>
            <w:r>
              <w:rPr>
                <w:b/>
                <w:color w:val="FFFFFF"/>
                <w:sz w:val="18"/>
              </w:rPr>
              <w:t>Purpose</w:t>
            </w:r>
          </w:p>
        </w:tc>
        <w:tc>
          <w:tcPr>
            <w:tcW w:type="dxa" w:w="4104"/>
            <w:shd w:fill="17365D"/>
            <w:vAlign w:val="center"/>
            <w:tcMar>
              <w:top w:w="100" w:type="dxa"/>
              <w:start w:w="110" w:type="dxa"/>
              <w:bottom w:w="100" w:type="dxa"/>
              <w:end w:w="110" w:type="dxa"/>
            </w:tcMar>
          </w:tcPr>
          <w:p>
            <w:pPr>
              <w:jc w:val="center"/>
            </w:pPr>
            <w:r>
              <w:rPr>
                <w:b/>
                <w:color w:val="FFFFFF"/>
                <w:sz w:val="18"/>
              </w:rPr>
              <w:t>Scope</w:t>
            </w:r>
          </w:p>
        </w:tc>
      </w:tr>
      <w:tr>
        <w:trPr>
          <w:cantSplit/>
        </w:trPr>
        <w:tc>
          <w:tcPr>
            <w:tcW w:type="dxa" w:w="1872"/>
            <w:vAlign w:val="center"/>
            <w:tcMar>
              <w:top w:w="100" w:type="dxa"/>
              <w:start w:w="110" w:type="dxa"/>
              <w:bottom w:w="100" w:type="dxa"/>
              <w:end w:w="110" w:type="dxa"/>
            </w:tcMar>
          </w:tcPr>
          <w:p>
            <w:pPr>
              <w:jc w:val="center"/>
            </w:pPr>
            <w:r>
              <w:t>Customer service owner</w:t>
            </w:r>
          </w:p>
        </w:tc>
        <w:tc>
          <w:tcPr>
            <w:tcW w:type="dxa" w:w="3744"/>
            <w:vAlign w:val="center"/>
            <w:tcMar>
              <w:top w:w="100" w:type="dxa"/>
              <w:start w:w="110" w:type="dxa"/>
              <w:bottom w:w="100" w:type="dxa"/>
              <w:end w:w="110" w:type="dxa"/>
            </w:tcMar>
          </w:tcPr>
          <w:p>
            <w:pPr>
              <w:jc w:val="left"/>
            </w:pPr>
            <w:r>
              <w:t>Send attributable customer notices and recover failures without losing the required message.</w:t>
            </w:r>
          </w:p>
        </w:tc>
        <w:tc>
          <w:tcPr>
            <w:tcW w:type="dxa" w:w="4104"/>
            <w:vAlign w:val="center"/>
            <w:tcMar>
              <w:top w:w="100" w:type="dxa"/>
              <w:start w:w="110" w:type="dxa"/>
              <w:bottom w:w="100" w:type="dxa"/>
              <w:end w:w="110" w:type="dxa"/>
            </w:tcMar>
          </w:tcPr>
          <w:p>
            <w:pPr>
              <w:jc w:val="left"/>
            </w:pPr>
            <w:r>
              <w:t>Order notices, feedback responses, delivery failures, bounced messages, and manual recovery.</w:t>
            </w:r>
          </w:p>
        </w:tc>
      </w:tr>
    </w:tbl>
    <w:p>
      <w:pPr>
        <w:spacing w:after="20"/>
      </w:pPr>
    </w:p>
    <w:p>
      <w:pPr>
        <w:pStyle w:val="Heading2"/>
      </w:pPr>
      <w:r>
        <w:t>Prerequisites</w:t>
      </w:r>
    </w:p>
    <w:p>
      <w:pPr>
        <w:pStyle w:val="ListBullet"/>
      </w:pPr>
      <w:r>
        <w:t>Approved sender and support inbox</w:t>
      </w:r>
    </w:p>
    <w:p>
      <w:pPr>
        <w:pStyle w:val="ListBullet"/>
      </w:pPr>
      <w:r>
        <w:t>Approved message content and recipient</w:t>
      </w:r>
    </w:p>
    <w:p>
      <w:pPr>
        <w:pStyle w:val="ListBullet"/>
      </w:pPr>
      <w:r>
        <w:t>Durable notification queue for order notices</w:t>
      </w:r>
    </w:p>
    <w:p>
      <w:pPr>
        <w:pStyle w:val="Heading2"/>
      </w:pPr>
      <w:r>
        <w:t>Responsibilities</w:t>
      </w:r>
    </w:p>
    <w:p>
      <w:r>
        <w:t>The owner performs or assigns the work. The current assignee records each action and exception. An administrator reviews controlled closure or readiness decisions. Quality personnel decide lot disposition. Commercial and legal decisions remain with their authorized owners.</w:t>
      </w:r>
    </w:p>
    <w:p>
      <w:pPr>
        <w:pStyle w:val="Heading2"/>
      </w:pPr>
      <w:r>
        <w:t>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Review notifications needing attention and customer feedback assigned to you.</w:t>
            </w:r>
          </w:p>
        </w:tc>
        <w:tc>
          <w:tcPr>
            <w:tcW w:type="dxa" w:w="3672"/>
            <w:vAlign w:val="center"/>
            <w:tcMar>
              <w:top w:w="100" w:type="dxa"/>
              <w:start w:w="110" w:type="dxa"/>
              <w:bottom w:w="100" w:type="dxa"/>
              <w:end w:w="110" w:type="dxa"/>
            </w:tcMar>
          </w:tcPr>
          <w:p>
            <w:pPr>
              <w:jc w:val="left"/>
            </w:pPr>
            <w:r>
              <w:t>Prioritized communication queue</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Confirm recipient, order or case context, and permitted content before sending.</w:t>
            </w:r>
          </w:p>
        </w:tc>
        <w:tc>
          <w:tcPr>
            <w:tcW w:type="dxa" w:w="3672"/>
            <w:shd w:fill="EFF4F8"/>
            <w:vAlign w:val="center"/>
            <w:tcMar>
              <w:top w:w="100" w:type="dxa"/>
              <w:start w:w="110" w:type="dxa"/>
              <w:bottom w:w="100" w:type="dxa"/>
              <w:end w:w="110" w:type="dxa"/>
            </w:tcMar>
          </w:tcPr>
          <w:p>
            <w:pPr>
              <w:jc w:val="left"/>
            </w:pPr>
            <w:r>
              <w:t>Correct message target</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Send through the approved channel. Order notices remain in the durable queue until delivered or handled.</w:t>
            </w:r>
          </w:p>
        </w:tc>
        <w:tc>
          <w:tcPr>
            <w:tcW w:type="dxa" w:w="3672"/>
            <w:vAlign w:val="center"/>
            <w:tcMar>
              <w:top w:w="100" w:type="dxa"/>
              <w:start w:w="110" w:type="dxa"/>
              <w:bottom w:w="100" w:type="dxa"/>
              <w:end w:w="110" w:type="dxa"/>
            </w:tcMar>
          </w:tcPr>
          <w:p>
            <w:pPr>
              <w:jc w:val="left"/>
            </w:pPr>
            <w:r>
              <w:t>Delivery attempt history</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Investigate provider errors, bounces, or missing configuration. Correct the cause and retry only when duplication risk is controlled.</w:t>
            </w:r>
          </w:p>
        </w:tc>
        <w:tc>
          <w:tcPr>
            <w:tcW w:type="dxa" w:w="3672"/>
            <w:shd w:fill="EFF4F8"/>
            <w:vAlign w:val="center"/>
            <w:tcMar>
              <w:top w:w="100" w:type="dxa"/>
              <w:start w:w="110" w:type="dxa"/>
              <w:bottom w:w="100" w:type="dxa"/>
              <w:end w:w="110" w:type="dxa"/>
            </w:tcMar>
          </w:tcPr>
          <w:p>
            <w:pPr>
              <w:jc w:val="left"/>
            </w:pPr>
            <w:r>
              <w:t>Recovery event</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If another channel is used, record who contacted the customer, when, through which channel, and the result.</w:t>
            </w:r>
          </w:p>
        </w:tc>
        <w:tc>
          <w:tcPr>
            <w:tcW w:type="dxa" w:w="3672"/>
            <w:vAlign w:val="center"/>
            <w:tcMar>
              <w:top w:w="100" w:type="dxa"/>
              <w:start w:w="110" w:type="dxa"/>
              <w:bottom w:w="100" w:type="dxa"/>
              <w:end w:w="110" w:type="dxa"/>
            </w:tcMar>
          </w:tcPr>
          <w:p>
            <w:pPr>
              <w:jc w:val="left"/>
            </w:pPr>
            <w:r>
              <w:t>Manual handling evidence</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Open an incident or complaint case when failure creates safety, legal, quality, privacy, or material customer impact.</w:t>
            </w:r>
          </w:p>
        </w:tc>
        <w:tc>
          <w:tcPr>
            <w:tcW w:type="dxa" w:w="3672"/>
            <w:shd w:fill="EFF4F8"/>
            <w:vAlign w:val="center"/>
            <w:tcMar>
              <w:top w:w="100" w:type="dxa"/>
              <w:start w:w="110" w:type="dxa"/>
              <w:bottom w:w="100" w:type="dxa"/>
              <w:end w:w="110" w:type="dxa"/>
            </w:tcMar>
          </w:tcPr>
          <w:p>
            <w:pPr>
              <w:jc w:val="left"/>
            </w:pPr>
            <w:r>
              <w:t>Case and escalation</w:t>
            </w:r>
          </w:p>
        </w:tc>
      </w:tr>
    </w:tbl>
    <w:p>
      <w:pPr>
        <w:spacing w:after="20"/>
      </w:pPr>
    </w:p>
    <w:p>
      <w:pPr>
        <w:pStyle w:val="Heading2"/>
      </w:pPr>
      <w:r>
        <w:t>Exceptions and escalation</w:t>
      </w:r>
    </w:p>
    <w:p>
      <w:pPr>
        <w:pStyle w:val="ListBullet"/>
      </w:pPr>
      <w:r>
        <w:t>Do not include secrets, unrestricted private documents, or internal-only notes.</w:t>
      </w:r>
    </w:p>
    <w:p>
      <w:pPr>
        <w:pStyle w:val="ListBullet"/>
      </w:pPr>
      <w:r>
        <w:t>Do not claim delivery from a simulated or accepted provider response without delivery evidence.</w:t>
      </w:r>
    </w:p>
    <w:p>
      <w:pPr>
        <w:pStyle w:val="ListBullet"/>
      </w:pPr>
      <w:r>
        <w:t>Prevent duplicate sends when retrying uncertain provider responses.</w:t>
      </w:r>
    </w:p>
    <w:p>
      <w:pPr>
        <w:pStyle w:val="Heading2"/>
      </w:pPr>
      <w:r>
        <w:t>Completion criteria</w:t>
      </w:r>
    </w:p>
    <w:p>
      <w:pPr>
        <w:pStyle w:val="ListBullet"/>
      </w:pPr>
      <w:r>
        <w:t>Required notice is delivered or a documented alternate contact is complete.</w:t>
      </w:r>
    </w:p>
    <w:p>
      <w:pPr>
        <w:pStyle w:val="ListBullet"/>
      </w:pPr>
      <w:r>
        <w:t>Provider failure has an owner and resolution evidence.</w:t>
      </w:r>
    </w:p>
    <w:p>
      <w:pPr>
        <w:pStyle w:val="ListBullet"/>
      </w:pPr>
      <w:r>
        <w:t>Customer-impacting exceptions are linked to a case.</w:t>
      </w:r>
    </w:p>
    <w:p>
      <w:pPr>
        <w:pStyle w:val="Heading2"/>
      </w:pPr>
      <w:r>
        <w:t>Measures and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680"/>
            <w:shd w:fill="17365D"/>
            <w:vAlign w:val="center"/>
            <w:tcMar>
              <w:top w:w="100" w:type="dxa"/>
              <w:start w:w="110" w:type="dxa"/>
              <w:bottom w:w="100" w:type="dxa"/>
              <w:end w:w="110" w:type="dxa"/>
            </w:tcMar>
          </w:tcPr>
          <w:p>
            <w:pPr>
              <w:jc w:val="center"/>
            </w:pPr>
            <w:r>
              <w:rPr>
                <w:b/>
                <w:color w:val="FFFFFF"/>
                <w:sz w:val="18"/>
              </w:rPr>
              <w:t>Measure</w:t>
            </w:r>
          </w:p>
        </w:tc>
        <w:tc>
          <w:tcPr>
            <w:tcW w:type="dxa" w:w="5040"/>
            <w:shd w:fill="17365D"/>
            <w:vAlign w:val="center"/>
            <w:tcMar>
              <w:top w:w="100" w:type="dxa"/>
              <w:start w:w="110" w:type="dxa"/>
              <w:bottom w:w="100" w:type="dxa"/>
              <w:end w:w="110" w:type="dxa"/>
            </w:tcMar>
          </w:tcPr>
          <w:p>
            <w:pPr>
              <w:jc w:val="left"/>
            </w:pPr>
            <w:r>
              <w:rPr>
                <w:b/>
                <w:color w:val="FFFFFF"/>
                <w:sz w:val="18"/>
              </w:rPr>
              <w:t>Required records</w:t>
            </w:r>
          </w:p>
        </w:tc>
      </w:tr>
      <w:tr>
        <w:trPr>
          <w:cantSplit/>
        </w:trPr>
        <w:tc>
          <w:tcPr>
            <w:tcW w:type="dxa" w:w="4680"/>
            <w:vAlign w:val="center"/>
            <w:tcMar>
              <w:top w:w="100" w:type="dxa"/>
              <w:start w:w="110" w:type="dxa"/>
              <w:bottom w:w="100" w:type="dxa"/>
              <w:end w:w="110" w:type="dxa"/>
            </w:tcMar>
          </w:tcPr>
          <w:p>
            <w:pPr>
              <w:jc w:val="left"/>
            </w:pPr>
            <w:r>
              <w:t>Notices needing attention, delivery and bounce rate, retry age, first response time, and duplicate sends</w:t>
            </w:r>
          </w:p>
        </w:tc>
        <w:tc>
          <w:tcPr>
            <w:tcW w:type="dxa" w:w="5040"/>
            <w:vAlign w:val="center"/>
            <w:tcMar>
              <w:top w:w="100" w:type="dxa"/>
              <w:start w:w="110" w:type="dxa"/>
              <w:bottom w:w="100" w:type="dxa"/>
              <w:end w:w="110" w:type="dxa"/>
            </w:tcMar>
          </w:tcPr>
          <w:p>
            <w:pPr>
              <w:jc w:val="left"/>
            </w:pPr>
            <w:r>
              <w:t>Notification and events, feedback history, provider evidence, alternate contact note, case record</w:t>
            </w:r>
          </w:p>
        </w:tc>
      </w:tr>
    </w:tbl>
    <w:p>
      <w:pPr>
        <w:spacing w:after="20"/>
      </w:pPr>
    </w:p>
    <w:p>
      <w:pPr>
        <w:pStyle w:val="Heading2"/>
      </w:pPr>
      <w:r>
        <w:t>Approval and training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Owner</w:t>
            </w:r>
          </w:p>
        </w:tc>
        <w:tc>
          <w:tcPr>
            <w:tcW w:type="dxa" w:w="1800"/>
            <w:shd w:fill="17365D"/>
            <w:vAlign w:val="center"/>
            <w:tcMar>
              <w:top w:w="100" w:type="dxa"/>
              <w:start w:w="110" w:type="dxa"/>
              <w:bottom w:w="100" w:type="dxa"/>
              <w:end w:w="110" w:type="dxa"/>
            </w:tcMar>
          </w:tcPr>
          <w:p>
            <w:pPr>
              <w:jc w:val="center"/>
            </w:pPr>
            <w:r>
              <w:rPr>
                <w:b/>
                <w:color w:val="FFFFFF"/>
                <w:sz w:val="18"/>
              </w:rPr>
              <w:t>Approver</w:t>
            </w:r>
          </w:p>
        </w:tc>
        <w:tc>
          <w:tcPr>
            <w:tcW w:type="dxa" w:w="1800"/>
            <w:shd w:fill="17365D"/>
            <w:vAlign w:val="center"/>
            <w:tcMar>
              <w:top w:w="100" w:type="dxa"/>
              <w:start w:w="110" w:type="dxa"/>
              <w:bottom w:w="100" w:type="dxa"/>
              <w:end w:w="110" w:type="dxa"/>
            </w:tcMar>
          </w:tcPr>
          <w:p>
            <w:pPr>
              <w:jc w:val="center"/>
            </w:pPr>
            <w:r>
              <w:rPr>
                <w:b/>
                <w:color w:val="FFFFFF"/>
                <w:sz w:val="18"/>
              </w:rPr>
              <w:t>Effective date</w:t>
            </w:r>
          </w:p>
        </w:tc>
        <w:tc>
          <w:tcPr>
            <w:tcW w:type="dxa" w:w="1800"/>
            <w:shd w:fill="17365D"/>
            <w:vAlign w:val="center"/>
            <w:tcMar>
              <w:top w:w="100" w:type="dxa"/>
              <w:start w:w="110" w:type="dxa"/>
              <w:bottom w:w="100" w:type="dxa"/>
              <w:end w:w="110" w:type="dxa"/>
            </w:tcMar>
          </w:tcPr>
          <w:p>
            <w:pPr>
              <w:jc w:val="center"/>
            </w:pPr>
            <w:r>
              <w:rPr>
                <w:b/>
                <w:color w:val="FFFFFF"/>
                <w:sz w:val="18"/>
              </w:rPr>
              <w:t>Review date</w:t>
            </w:r>
          </w:p>
        </w:tc>
        <w:tc>
          <w:tcPr>
            <w:tcW w:type="dxa" w:w="2520"/>
            <w:shd w:fill="17365D"/>
            <w:vAlign w:val="center"/>
            <w:tcMar>
              <w:top w:w="100" w:type="dxa"/>
              <w:start w:w="110" w:type="dxa"/>
              <w:bottom w:w="100" w:type="dxa"/>
              <w:end w:w="110" w:type="dxa"/>
            </w:tcMar>
          </w:tcPr>
          <w:p>
            <w:pPr>
              <w:jc w:val="left"/>
            </w:pPr>
            <w:r>
              <w:rPr>
                <w:b/>
                <w:color w:val="FFFFFF"/>
                <w:sz w:val="18"/>
              </w:rPr>
              <w:t>Training evidence</w:t>
            </w:r>
          </w:p>
        </w:tc>
      </w:tr>
      <w:tr>
        <w:trPr>
          <w:cantSplit/>
        </w:trPr>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center"/>
            </w:pPr>
            <w:r/>
          </w:p>
        </w:tc>
        <w:tc>
          <w:tcPr>
            <w:tcW w:type="dxa" w:w="1800"/>
            <w:vAlign w:val="center"/>
            <w:tcMar>
              <w:top w:w="100" w:type="dxa"/>
              <w:start w:w="110" w:type="dxa"/>
              <w:bottom w:w="100" w:type="dxa"/>
              <w:end w:w="110" w:type="dxa"/>
            </w:tcMar>
          </w:tcPr>
          <w:p>
            <w:pPr>
              <w:jc w:val="left"/>
            </w:pPr>
            <w:r/>
          </w:p>
        </w:tc>
        <w:tc>
          <w:tcPr>
            <w:tcW w:type="dxa" w:w="1800"/>
            <w:vAlign w:val="center"/>
            <w:tcMar>
              <w:top w:w="100" w:type="dxa"/>
              <w:start w:w="110" w:type="dxa"/>
              <w:bottom w:w="100" w:type="dxa"/>
              <w:end w:w="110" w:type="dxa"/>
            </w:tcMar>
          </w:tcPr>
          <w:p>
            <w:pPr>
              <w:jc w:val="center"/>
            </w:pPr>
            <w:r/>
          </w:p>
        </w:tc>
        <w:tc>
          <w:tcPr>
            <w:tcW w:type="dxa" w:w="2520"/>
            <w:vAlign w:val="center"/>
            <w:tcMar>
              <w:top w:w="100" w:type="dxa"/>
              <w:start w:w="110" w:type="dxa"/>
              <w:bottom w:w="100" w:type="dxa"/>
              <w:end w:w="110" w:type="dxa"/>
            </w:tcMar>
          </w:tcPr>
          <w:p>
            <w:pPr>
              <w:jc w:val="left"/>
            </w:pPr>
            <w:r/>
          </w:p>
        </w:tc>
      </w:tr>
    </w:tbl>
    <w:p>
      <w:pPr>
        <w:spacing w:after="20"/>
      </w:pP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080" w:right="1224" w:bottom="1008"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SOP LIBRARY   Controlled draft   </w:t>
    </w:r>
    <w:r>
      <w:rPr>
        <w:color w:val="000000"/>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SOP LIBRARY   Controlled draft   </w:t>
    </w:r>
    <w:r>
      <w:rPr>
        <w:color w:val="000000"/>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SOP LIBRARY   Controlled draft   </w:t>
    </w:r>
    <w:r>
      <w:rPr>
        <w:color w:val="000000"/>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 Library</dc:title>
  <dc:subject>Business operations and standard operating procedures</dc:subject>
  <dc:creator>NexPhase Labs</dc:creator>
  <cp:keywords/>
  <dc:description>generated by python-docx</dc:description>
  <cp:lastModifiedBy/>
  <cp:revision>1</cp:revision>
  <dcterms:created xsi:type="dcterms:W3CDTF">2013-12-23T23:15:00Z</dcterms:created>
  <dcterms:modified xsi:type="dcterms:W3CDTF">2013-12-23T23:15:00Z</dcterms:modified>
  <cp:category/>
</cp:coreProperties>
</file>