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Artificial Intelligence and Open Problems</w:t>
      </w:r>
    </w:p>
    <w:p>
      <w:pPr>
        <w:pStyle w:val="Subtitle"/>
      </w:pPr>
      <w:r>
        <w:t>Responsibility, source, truth, and a tool that is not a living owner</w:t>
      </w:r>
    </w:p>
    <w:p>
      <w:pPr>
        <w:pStyle w:val="Heading1"/>
      </w:pPr>
      <w:r>
        <w:t>Artificial Intelligence and Open Problems</w:t>
      </w:r>
    </w:p>
    <w:p>
      <w:pPr>
        <w:pStyle w:val="Heading2"/>
      </w:pPr>
      <w:r>
        <w:t>Responsibility, source, truth, and a tool that is not a living owner</w:t>
      </w:r>
    </w:p>
    <w:p>
      <w:r>
        <w:t>AI is a deep gateway in the theory because it gives us a mirror that is not a person yet can produce forms that resemble personhood: answer, image, argument, code, voice, style, advice, comfort. The problem is therefore not only technical. It is ontological, moral, and social: what happens when an output looks as if it passed through a living source, while the road itself was not living in the same way?</w:t>
      </w:r>
    </w:p>
    <w:p>
      <w:r>
        <w:t>Open problems in artificial intelligence are not merely how to make a model smarter. They include reliability, hallucination, attribution, privacy, bias, responsibility, understanding versus imitation, control, evaluation, alignment, copyright, living source, dependency, skill loss, and the question of whether a tool that generates wording can make us forget who carried the distance.</w:t>
      </w:r>
    </w:p>
    <w:p>
      <w:r>
        <w:t>Worthy AI = capability × relative transparency × testing × use limits × attribution × human responsibility × preservation of source / blind automation × false authority × erasure of path × bias × data exploitation × replacement of judgment. This is not a safety equation. It is a discipline map asking whether the tool expands possibility or pretends to be the ideal.</w:t>
      </w:r>
    </w:p>
    <w:p>
      <w:r>
        <w:t>A common mistake is to ask only whether AI truly understands. That matters, but it can hide the more urgent question: what happens to humans when they behave as if it understands enough to carry responsibility for them. Even if a model is not conscious, it can change social consciousness: how students learn, judges read, doctors document, artists work, and governments rank risk.</w:t>
      </w:r>
    </w:p>
    <w:p>
      <w:r>
        <w:t>The theory distinguishes roles: AI can be mirror, witness, tool, scaffold, accelerator, translator, preliminary diagnostician, or drainage mechanism. It is not the owner of the human road. When it replaces distance, it produces output without formation. When it helps carry distance, it can be a deep tool. The difference lies not only in the model but in practice, governance, design, and boundary.</w:t>
      </w:r>
    </w:p>
    <w:p>
      <w:r>
        <w:t>AI of potential is neither fear of machines nor blind enthusiasm. It preserves one sentence: a tool may open possibility, but it must not steal the place where a person, community, or living source becomes responsible for what is made.</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and Open Problems</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