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 of Potential</w:t>
      </w:r>
    </w:p>
    <w:p>
      <w:pPr>
        <w:pStyle w:val="Subtitle"/>
      </w:pPr>
      <w:r>
        <w:t>Voice, time, silence, and an optimum that is not only precision</w:t>
      </w:r>
    </w:p>
    <w:p>
      <w:pPr>
        <w:pStyle w:val="Heading1"/>
      </w:pPr>
      <w:r>
        <w:t>Music of Potential</w:t>
      </w:r>
    </w:p>
    <w:p>
      <w:pPr>
        <w:pStyle w:val="Heading2"/>
      </w:pPr>
      <w:r>
        <w:t>Voice, time, silence, and an optimum that is not only precision</w:t>
      </w:r>
    </w:p>
    <w:p>
      <w:r>
        <w:t>Music tests the theory through time. A painting stands, a sentence is read, a structure carries load; music appears and disappears while it is appearing. It teaches that potential is not only a field of options but a rhythm of emergence. A note too early or too late is not the same possibility. Silence in the right place is not absence but an active form of relation.</w:t>
      </w:r>
    </w:p>
    <w:p>
      <w:r>
        <w:t>The deep failure in music is the replacement of voice by performance. One can play correctly, sing cleanly, produce brilliantly, arrange richly, and still fail to hear a person. But imperfection is not automatically truth. Living music is not merely imperfect music; it is music where precision serves breath, memory, body, place, and risk.</w:t>
      </w:r>
    </w:p>
    <w:p>
      <w:r>
        <w:t>Living music = voice × time × tension × silence × repetition with change × living source × listening / formula × over-polish × noise × imitation × appropriation × production that erases the body. This distinguishes technical optimum from musical optimum. Technical optimum asks whether everything sits; musical optimum asks whether what sits also breathes.</w:t>
      </w:r>
    </w:p>
    <w:p>
      <w:r>
        <w:t>AI in music opens real possibilities: sketches, accompaniment, demos, access for those without an ensemble, expanded timbres, practice, restoration. It also revives an old danger: voice without source. When the style of a singer, player, community, or tradition is extracted as an effect, musical potential is detached from the life that formed it. Not every use is theft, but every use must answer: did the tool extend a living voice or turn it into faceless raw material?</w:t>
      </w:r>
    </w:p>
    <w:p>
      <w:r>
        <w:t>Music links to economy because it lives between gift, work, and market. It links to education because good practice preserves distance: enough repetition to build the body, enough freedom not to strangle voice. It links to boundary horizons because every performance faces what cannot yet be heard: a feeling not formulated, a tone that exists only in the moment, an audience that changes the song by hearing it.</w:t>
      </w:r>
    </w:p>
    <w:p>
      <w:r>
        <w:t>Music of potential does not say that the human is always better than the machine. It says the question is not who produced the cleaner sound. The question is whether there is a responsible relation between source, voice, time, and listening.</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of Potential</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