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Structure of the Universe / Shape of the Universe and Shape of Potential</w:t>
      </w:r>
    </w:p>
    <w:p>
      <w:pPr>
        <w:pStyle w:val="Subtitle"/>
      </w:pPr>
      <w:r>
        <w:t>Flat universe, curved universe, multiverse and omniverse as cautious boundary language</w:t>
      </w:r>
    </w:p>
    <w:p>
      <w:pPr>
        <w:pStyle w:val="Heading1"/>
      </w:pPr>
      <w:r>
        <w:t>Structure of the Universe / Shape of the Universe and Shape of Potential</w:t>
      </w:r>
    </w:p>
    <w:p>
      <w:pPr>
        <w:pStyle w:val="Heading2"/>
      </w:pPr>
      <w:r>
        <w:t>Flat universe, curved universe, multiverse and omniverse as cautious boundary language</w:t>
      </w:r>
    </w:p>
    <w:p>
      <w:r>
        <w:t>The structure of the universe is a dangerous place for a philosophical theory: it is easy to take grand terms, turn them into images, and sound profound without saying anything precise. This chapter begins with restraint: the shape of the universe does not prove the shape of potential. Cosmology is observational and mathematical science; the theory uses it as boundary language, not as metaphysical authority.</w:t>
      </w:r>
    </w:p>
    <w:p>
      <w:r>
        <w:t>Scientifically, the question of the shape of the universe involves distinctions among curvature, topology, observational horizon, and expansion history. A flat universe does not necessarily mean a simple universe; a curved universe does not necessarily mean a closed story; multiverse and omniverse ideas sit at different levels of speculation. “Structure of the universe” and “shape of the universe” must therefore appear in the theory as discipline, not ornament.</w:t>
      </w:r>
    </w:p>
    <w:p>
      <w:r>
        <w:t>Shape of potential = field of possibilities × access limits × local lawfulness × topology of relations × observational horizon / empty image × metaphysical leap × mixing science and fiction × over-certainty. The map says: even when the global structure is unknown, local limits still shape responsible action.</w:t>
      </w:r>
    </w:p>
    <w:p>
      <w:r>
        <w:t>The useful analogy is not “the universe is potential.” The useful analogy is that one can live inside a system where the visible part is not the whole system and the global structure is not directly accessible. This is true in cosmology, but also in law, medicine, education, and AI. A person acts from within a horizon, not from outside the universe.</w:t>
      </w:r>
    </w:p>
    <w:p>
      <w:r>
        <w:t>Multiverse and omniverse are used here only as linguistic warnings. As the field of possibilities grows, so does the temptation to call every possibility meaningful. The theory rejects that. Potential is not the holiness of every possibility. Ideal is the moral clarification of the possible. Optimum is the local translation of the ideal under constraint.</w:t>
      </w:r>
    </w:p>
    <w:p>
      <w:r>
        <w:t>The shape of potential is not a proven geometric shape. It is a way of speaking about relations among possibilities, boundaries, appearances, and choices. Any language about the universe must drain pretension rather than add a halo to it.</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of the Universe / Shape of the Universe and Shape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