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 of Potential</w:t>
      </w:r>
    </w:p>
    <w:p>
      <w:pPr>
        <w:pStyle w:val="Subtitle"/>
      </w:pPr>
      <w:r>
        <w:t>Living source, canon, and form that does not replace breath</w:t>
      </w:r>
    </w:p>
    <w:p>
      <w:pPr>
        <w:pStyle w:val="Heading1"/>
      </w:pPr>
      <w:r>
        <w:t>Art of Potential</w:t>
      </w:r>
    </w:p>
    <w:p>
      <w:pPr>
        <w:pStyle w:val="Heading2"/>
      </w:pPr>
      <w:r>
        <w:t>Living source, canon, and form that does not replace breath</w:t>
      </w:r>
    </w:p>
    <w:p>
      <w:r>
        <w:t>Art is a natural laboratory of the theory because every work begins in excess. Before an image, story, sculpture, comic, film, or game exists, there is a field of possibilities: lines not drawn, characters not born, colors rejected, endings abandoned, viewpoints not chosen. Creation is not only what is added to the world; it is also what is cut away so that one form can hold.</w:t>
      </w:r>
    </w:p>
    <w:p>
      <w:r>
        <w:t>The deep failure in judging art is the replacement of source by effect. A work can be moving, beautiful, clever, new, or effective, and still the theory asks another question: is there a living relation between source, risk, and form? A technically perfect work can be dead if it feels as if no one had to make it. Yet flaw is not sacred either. Not every stumble is depth; not every fracture is truth.</w:t>
      </w:r>
    </w:p>
    <w:p>
      <w:r>
        <w:t>Living art = living source × inner necessity × form × responsible deletion × rhythm × tested canon / imitation × empty effect × pose × unworked excess × market alone × automation pretending to be source. This map does not measure beauty. It asks whether the artistic optimum comes from fidelity to an inner ideal or from flat adaptation to expected taste.</w:t>
      </w:r>
    </w:p>
    <w:p>
      <w:r>
        <w:t>AI changes the question. A tool can generate images, styles, stories, ideas, compositions, designs, and variations. It opens real potential: quick sketches, accessibility, practice, visual language, experiments. But it can also erase the distance in which a living source becomes a work. When the maker asks for an output without carrying choice, deletion, responsibility, and risk, the tool has not expanded creation; it has replaced formation.</w:t>
      </w:r>
    </w:p>
    <w:p>
      <w:r>
        <w:t>Canon is neither prison nor grand stamp. It is the memory of forms that survived time. A new work does not have to obey it, but if it ignores it without understanding what it preserved, it loses depth. The ideal is not originality at any price. The ideal is a form in which what could have been becomes necessary enough to remain.</w:t>
      </w:r>
    </w:p>
    <w:p>
      <w:r>
        <w:t>Art of potential links to economy because markets can enable and deform creation; to AI because living source can become template; to education because an art student needs distance, not only a portfolio; and to the grace of relinquishment because sometimes the better work gives up the effect that shines more than its truth.</w:t>
      </w:r>
    </w:p>
    <w:p>
      <w:r>
        <w:t>Art of potential is not nostalgia against technology and not a defense of suffering as authenticity. It says: use any tool, but do not lie about where the tool stood in for the source. A living work is not only an impressive result. It is the trace of a choice that passed through a person.</w:t>
      </w:r>
    </w:p>
    <w:p>
      <w:pPr>
        <w:pStyle w:val="Heading2"/>
      </w:pPr>
      <w:r>
        <w:t>Source discipline</w:t>
      </w:r>
    </w:p>
    <w:p>
      <w:r>
        <w:t>Working sources and caution: this chapter relies on the theory itself and on background sources checked outside the prompt: UNESCO on artificial intelligence in education, WHO on ethics and governance of AI for health, the NIST AI RMF for AI risk management, CERN/ATLAS on the Standard Model and the Higgs, NASA and ESA/Planck on cosmology, the Stanford Encyclopedia of Philosophy on Bell, Kochen-Specker and contextuality, and Britannica/ISFDB for the literary identification of Harlan Ellison and I Have No Mouth, and I Must Scream. These sources are not treated as proofs of the theory; they are safeguards against empty borrowing of terms.</w:t>
      </w:r>
    </w:p>
    <w:p>
      <w:r>
        <w:t xml:space="preserve">---</w:t>
      </w:r>
    </w:p>
    <w:p>
      <w:r>
        <w:t xml:space="preserve">---
Short methodological clarification: When this document uses terms from mathematics, physics, computer science, logic, or artificial intelligence, they should be read according to their stated context: sometimes as structural metaphor, sometimes as a reading model, and only as a formal claim when explicitly presented as such. The use of a scientific term should not be treated as a scientific or metaphysical proof by itself.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 of Potential</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