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DejaVu Sans" w:hAnsi="DejaVu Sans" w:eastAsia="DejaVu Sans"/>
          <w:b/>
          <w:sz w:val="40"/>
          <w:rtl/>
        </w:rPr>
        <w:t>AI OPEN PROBLEMS MAP HE</w:t>
      </w:r>
    </w:p>
    <w:p/>
    <w:p>
      <w:pPr>
        <w:pStyle w:val="Heading1"/>
        <w:bidi w:val="1"/>
        <w:jc w:val="right"/>
      </w:pPr>
      <w:r>
        <w:rPr>
          <w:rtl/>
        </w:rPr>
        <w:t>מפת AI</w:t>
      </w:r>
    </w:p>
    <w:p>
      <w:pPr>
        <w:bidi w:val="1"/>
        <w:jc w:val="right"/>
      </w:pPr>
      <w:r>
        <w:rPr>
          <w:rFonts w:ascii="DejaVu Sans" w:hAnsi="DejaVu Sans" w:eastAsia="DejaVu Sans"/>
          <w:sz w:val="21"/>
          <w:rtl/>
        </w:rPr>
        <w:t>בעיות AI אורגנו למשפחות: אמת ועדות, דרך והבנה, מקור חי, פעולה ואחריות, כוח ומוסד, גבול ואבטחה, ערכים ואידיאל.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eastAsia="DejaVu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OPEN PROBLEMS MAP HE</dc:title>
  <dc:subject/>
  <dc:creator>Barak Ben Hur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