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200" w:line="293" w:lineRule="auto"/>
        <w:ind w:firstLine="0" w:right="0" w:left="0"/>
        <w:jc w:val="center"/>
        <w:bidi w:val="1"/>
      </w:pPr>
      <w:r>
        <w:rPr>
          <w:rFonts w:ascii="Noto Sans Hebrew" w:hAnsi="Noto Sans Hebrew" w:cs="Noto Sans Hebrew" w:eastAsia="Noto Sans Hebrew"/>
          <w:b/>
          <w:color w:val="222A2E"/>
          <w:sz w:val="68"/>
          <w:rtl w:val="1"/>
        </w:rPr>
        <w:t>דוח תיקון שער ותוכן עניינים</w:t>
      </w:r>
    </w:p>
    <w:p>
      <w:pPr>
        <w:spacing w:after="320" w:line="293" w:lineRule="auto"/>
        <w:ind w:firstLine="0" w:right="0" w:left="0"/>
        <w:jc w:val="center"/>
        <w:bidi w:val="1"/>
      </w:pPr>
      <w:r>
        <w:rPr>
          <w:rFonts w:ascii="Noto Sans Hebrew" w:hAnsi="Noto Sans Hebrew" w:cs="Noto Sans Hebrew" w:eastAsia="Noto Sans Hebrew"/>
          <w:b w:val="0"/>
          <w:color w:val="74624E"/>
          <w:sz w:val="32"/>
          <w:rtl w:val="1"/>
        </w:rPr>
        <w:t>עברית, סיפורים וסיום הכלב</w:t>
      </w:r>
    </w:p>
    <w:p>
      <w:pPr>
        <w:spacing w:after="240" w:line="293" w:lineRule="auto"/>
        <w:ind w:firstLine="0" w:right="0" w:left="0"/>
        <w:jc w:val="center"/>
        <w:bidi w:val="1"/>
      </w:pPr>
      <w:r>
        <w:rPr>
          <w:rFonts w:ascii="Noto Sans Hebrew" w:hAnsi="Noto Sans Hebrew" w:cs="Noto Sans Hebrew" w:eastAsia="Noto Sans Hebrew"/>
          <w:rtl w:val="1"/>
        </w:rPr>
        <w:drawing>
          <wp:inline xmlns:a="http://schemas.openxmlformats.org/drawingml/2006/main" xmlns:pic="http://schemas.openxmlformats.org/drawingml/2006/picture">
            <wp:extent cx="5303520" cy="7071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i_cover_visual_horiz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071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93" w:lineRule="auto"/>
        <w:ind w:firstLine="0" w:right="0" w:left="0"/>
        <w:jc w:val="center"/>
        <w:bidi w:val="1"/>
      </w:pPr>
      <w:r>
        <w:rPr>
          <w:rFonts w:ascii="Noto Sans Hebrew" w:hAnsi="Noto Sans Hebrew" w:cs="Noto Sans Hebrew" w:eastAsia="Noto Sans Hebrew"/>
          <w:color w:val="505050"/>
          <w:sz w:val="22"/>
          <w:rtl w:val="1"/>
        </w:rPr>
        <w:t>גרסת הפצה מתוקנת · שער ותוכן עניינים אינטראקטיביים · כל הסיפורים כלולים</w:t>
      </w:r>
    </w:p>
    <w:p>
      <w:r>
        <w:br w:type="page"/>
      </w:r>
    </w:p>
    <w:p>
      <w:pPr>
        <w:spacing w:after="80" w:line="293" w:lineRule="auto"/>
        <w:ind w:firstLine="0" w:right="0" w:left="0"/>
        <w:jc w:val="right"/>
        <w:bidi w:val="1"/>
      </w:pPr>
      <w:r>
        <w:rPr>
          <w:rFonts w:ascii="Noto Sans Hebrew" w:hAnsi="Noto Sans Hebrew" w:cs="Noto Sans Hebrew" w:eastAsia="Noto Sans Hebrew"/>
          <w:b/>
          <w:color w:val="222A2E"/>
          <w:sz w:val="48"/>
          <w:rtl w:val="1"/>
        </w:rPr>
        <w:t>תוכן עניינים אינטראקטיבי</w:t>
      </w:r>
    </w:p>
    <w:p>
      <w:pPr>
        <w:bidi w:val="1"/>
        <w:spacing w:after="160" w:line="293" w:lineRule="auto"/>
        <w:ind w:firstLine="0" w:right="0" w:left="0"/>
        <w:jc w:val="right"/>
      </w:pPr>
      <w:r>
        <w:rPr>
          <w:rFonts w:ascii="Noto Sans Hebrew" w:hAnsi="Noto Sans Hebrew" w:cs="Noto Sans Hebrew" w:eastAsia="Noto Sans Hebrew"/>
          <w:color w:val="5A5A5A"/>
          <w:sz w:val="21"/>
          <w:rtl w:val="1"/>
        </w:rPr>
        <w:t>כל שורה בתוכן העניינים היא קישור פנימי. תוכן העניינים בעברית, ללא שמות קבצים או כותרות טכניות באנגלית. כותרות יצירה מקוריות נשמרו כשהן חלק מן היצירה.</w:t>
      </w:r>
    </w:p>
    <w:p>
      <w:pPr>
        <w:spacing w:after="40" w:line="293" w:lineRule="auto"/>
        <w:ind w:right="0" w:firstLine="0" w:left="0"/>
        <w:bidi w:val="1"/>
        <w:jc w:val="right"/>
      </w:pPr>
      <w:hyperlink w:anchor="sec_0_1" w:history="1">
        <w:r>
          <w:rPr>
            <w:color w:val="8B3E1F"/>
            <w:u w:val="single"/>
            <w:rtl w:val="1"/>
          </w:rPr>
          <w:t>■ דוח תיקון</w:t>
        </w:r>
      </w:hyperlink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shd w:fill="F2E2D2"/>
            <w:vAlign w:val="center"/>
          </w:tcPr>
          <w:p>
            <w:pPr>
              <w:bidi w:val="1"/>
              <w:spacing w:after="80" w:line="293" w:lineRule="auto"/>
              <w:ind w:firstLine="0" w:right="0" w:left="0"/>
              <w:jc w:val="right"/>
            </w:pPr>
            <w:r>
              <w:rPr>
                <w:rFonts w:ascii="Noto Sans Hebrew" w:hAnsi="Noto Sans Hebrew" w:cs="Noto Sans Hebrew" w:eastAsia="Noto Sans Hebrew"/>
                <w:b/>
                <w:color w:val="8B3E1F"/>
                <w:sz w:val="24"/>
                <w:rtl w:val="1"/>
              </w:rPr>
              <w:t>הערת הפצה מתוקנת</w:t>
            </w:r>
          </w:p>
          <w:p>
            <w:pPr>
              <w:bidi w:val="1"/>
              <w:spacing w:after="40" w:line="293" w:lineRule="auto"/>
              <w:ind w:firstLine="0" w:right="0" w:left="0"/>
              <w:jc w:val="right"/>
            </w:pPr>
            <w:r>
              <w:rPr>
                <w:rFonts w:ascii="Noto Sans Hebrew" w:hAnsi="Noto Sans Hebrew" w:cs="Noto Sans Hebrew" w:eastAsia="Noto Sans Hebrew"/>
                <w:color w:val="2D2D2D"/>
                <w:sz w:val="21"/>
                <w:rtl w:val="1"/>
              </w:rPr>
              <w:t>השער חודש: כותרת גדולה, ממורכזת, עם ויז׳ואל ייעודי.</w:t>
            </w:r>
          </w:p>
          <w:p>
            <w:pPr>
              <w:bidi w:val="1"/>
              <w:spacing w:after="40" w:line="293" w:lineRule="auto"/>
              <w:ind w:firstLine="0" w:right="0" w:left="0"/>
              <w:jc w:val="right"/>
            </w:pPr>
            <w:r>
              <w:rPr>
                <w:rFonts w:ascii="Noto Sans Hebrew" w:hAnsi="Noto Sans Hebrew" w:cs="Noto Sans Hebrew" w:eastAsia="Noto Sans Hebrew"/>
                <w:color w:val="2D2D2D"/>
                <w:sz w:val="21"/>
                <w:rtl w:val="1"/>
              </w:rPr>
              <w:t>התוכן עניינים נבנה ידנית כקישורים פנימיים ולא כשמות קבצים.</w:t>
            </w:r>
          </w:p>
          <w:p>
            <w:pPr>
              <w:bidi w:val="1"/>
              <w:spacing w:after="40" w:line="293" w:lineRule="auto"/>
              <w:ind w:firstLine="0" w:right="0" w:left="0"/>
              <w:jc w:val="right"/>
            </w:pPr>
            <w:r>
              <w:rPr>
                <w:rFonts w:ascii="Noto Sans Hebrew" w:hAnsi="Noto Sans Hebrew" w:cs="Noto Sans Hebrew" w:eastAsia="Noto Sans Hebrew"/>
                <w:color w:val="2D2D2D"/>
                <w:sz w:val="21"/>
                <w:rtl w:val="1"/>
              </w:rPr>
              <w:t>העברית הוגדרה כ־RTL בכל הפסקאות המרכזיות.</w:t>
            </w:r>
          </w:p>
          <w:p>
            <w:pPr>
              <w:bidi w:val="1"/>
              <w:spacing w:after="40" w:line="293" w:lineRule="auto"/>
              <w:ind w:firstLine="0" w:right="0" w:left="0"/>
              <w:jc w:val="right"/>
            </w:pPr>
            <w:r>
              <w:rPr>
                <w:rFonts w:ascii="Noto Sans Hebrew" w:hAnsi="Noto Sans Hebrew" w:cs="Noto Sans Hebrew" w:eastAsia="Noto Sans Hebrew"/>
                <w:color w:val="2D2D2D"/>
                <w:sz w:val="21"/>
                <w:rtl w:val="1"/>
              </w:rPr>
              <w:t>הסיום של “על מה כלבים חולמים” נשמר בדיוק: ואז הוא סמיילי מפרק.</w:t>
            </w:r>
          </w:p>
        </w:tc>
      </w:tr>
    </w:tbl>
    <w:p/>
    <w:p>
      <w:bookmarkStart w:id="69735" w:name="sec_0_1"/>
      <w:pPr>
        <w:pStyle w:val="Heading1"/>
        <w:keepNext/>
        <w:bidi w:val="1"/>
        <w:spacing w:after="160" w:line="293" w:lineRule="auto"/>
        <w:ind w:firstLine="0" w:right="0" w:left="0"/>
        <w:jc w:val="right"/>
      </w:pPr>
      <w:r>
        <w:rPr>
          <w:rFonts w:ascii="Noto Sans Hebrew" w:hAnsi="Noto Sans Hebrew" w:cs="Noto Sans Hebrew" w:eastAsia="Noto Sans Hebrew"/>
          <w:b/>
          <w:color w:val="222A2E"/>
          <w:sz w:val="36"/>
          <w:rtl w:val="1"/>
        </w:rPr>
        <w:t>דוח תיקון</w:t>
      </w:r>
      <w:bookmarkEnd w:id="69735"/>
    </w:p>
    <w:p>
      <w:pPr>
        <w:pStyle w:val="Heading2"/>
        <w:keepNext/>
        <w:bidi w:val="1"/>
        <w:spacing w:after="160" w:line="293" w:lineRule="auto"/>
        <w:ind w:firstLine="0" w:right="0" w:left="0"/>
        <w:jc w:val="right"/>
      </w:pPr>
      <w:r>
        <w:rPr>
          <w:rFonts w:ascii="Noto Sans Hebrew" w:hAnsi="Noto Sans Hebrew" w:cs="Noto Sans Hebrew" w:eastAsia="Noto Sans Hebrew"/>
          <w:b/>
          <w:color w:val="222A2E"/>
          <w:sz w:val="30"/>
          <w:rtl w:val="1"/>
        </w:rPr>
        <w:t>דוח תיקון שער, תוכן עניינים, עברית וסיפור הכלב</w:t>
      </w:r>
    </w:p>
    <w:p>
      <w:pPr>
        <w:bidi w:val="1"/>
        <w:spacing w:after="120" w:line="293" w:lineRule="auto"/>
        <w:ind w:firstLine="0" w:right="0" w:left="0"/>
        <w:jc w:val="right"/>
      </w:pPr>
      <w:r>
        <w:rPr>
          <w:rFonts w:ascii="Noto Sans Hebrew" w:hAnsi="Noto Sans Hebrew" w:cs="Noto Sans Hebrew" w:eastAsia="Noto Sans Hebrew"/>
          <w:sz w:val="22"/>
          <w:rtl w:val="1"/>
        </w:rPr>
        <w:t>בוצע תיקון ממוקד לחבילת ההפצה:</w:t>
      </w:r>
    </w:p>
    <w:p>
      <w:pPr>
        <w:pStyle w:val="Heading3"/>
        <w:keepNext/>
        <w:bidi w:val="1"/>
        <w:spacing w:after="160" w:line="293" w:lineRule="auto"/>
        <w:ind w:firstLine="0" w:right="0" w:left="0"/>
        <w:jc w:val="right"/>
      </w:pPr>
      <w:r>
        <w:rPr>
          <w:rFonts w:ascii="Noto Sans Hebrew" w:hAnsi="Noto Sans Hebrew" w:cs="Noto Sans Hebrew" w:eastAsia="Noto Sans Hebrew"/>
          <w:b/>
          <w:color w:val="222A2E"/>
          <w:sz w:val="26"/>
          <w:rtl w:val="1"/>
        </w:rPr>
        <w:t>מה תוקן</w:t>
      </w:r>
    </w:p>
    <w:p>
      <w:pPr>
        <w:pStyle w:val="ListBullet"/>
        <w:bidi w:val="1"/>
        <w:spacing w:after="120" w:line="293" w:lineRule="auto"/>
        <w:ind w:firstLine="0" w:right="0" w:left="0"/>
        <w:jc w:val="right"/>
      </w:pPr>
      <w:r>
        <w:rPr>
          <w:rFonts w:ascii="Noto Sans Hebrew" w:hAnsi="Noto Sans Hebrew" w:cs="Noto Sans Hebrew" w:eastAsia="Noto Sans Hebrew"/>
          <w:sz w:val="22"/>
          <w:rtl w:val="1"/>
        </w:rPr>
        <w:t>עמוד השער של המסמך העברי המרכזי נבנה מחדש: כותרת גדולה, ממורכזת, עם ויז׳ואל ייעודי.</w:t>
      </w:r>
    </w:p>
    <w:p>
      <w:pPr>
        <w:pStyle w:val="ListBullet"/>
        <w:bidi w:val="1"/>
        <w:spacing w:after="120" w:line="293" w:lineRule="auto"/>
        <w:ind w:firstLine="0" w:right="0" w:left="0"/>
        <w:jc w:val="right"/>
      </w:pPr>
      <w:r>
        <w:rPr>
          <w:rFonts w:ascii="Noto Sans Hebrew" w:hAnsi="Noto Sans Hebrew" w:cs="Noto Sans Hebrew" w:eastAsia="Noto Sans Hebrew"/>
          <w:sz w:val="22"/>
          <w:rtl w:val="1"/>
        </w:rPr>
        <w:t>נבנה תוכן עניינים ידני־אינטראקטיבי בעברית, עם קישורים פנימיים ולא שמות קבצים/סלאגים באנגלית.</w:t>
      </w:r>
    </w:p>
    <w:p>
      <w:pPr>
        <w:pStyle w:val="ListBullet"/>
        <w:bidi w:val="1"/>
        <w:spacing w:after="120" w:line="293" w:lineRule="auto"/>
        <w:ind w:firstLine="0" w:right="0" w:left="0"/>
        <w:jc w:val="right"/>
      </w:pPr>
      <w:r>
        <w:rPr>
          <w:rFonts w:ascii="Noto Sans Hebrew" w:hAnsi="Noto Sans Hebrew" w:cs="Noto Sans Hebrew" w:eastAsia="Noto Sans Hebrew"/>
          <w:sz w:val="22"/>
          <w:rtl w:val="1"/>
        </w:rPr>
        <w:t>כל הסיפורים מן קובץ הסיפורים העברי נכנסו לתוכן העניינים ולמסמך המרכזי.</w:t>
      </w:r>
    </w:p>
    <w:p>
      <w:pPr>
        <w:pStyle w:val="ListBullet"/>
        <w:bidi w:val="1"/>
        <w:spacing w:after="120" w:line="293" w:lineRule="auto"/>
        <w:ind w:firstLine="0" w:right="0" w:left="0"/>
        <w:jc w:val="right"/>
      </w:pPr>
      <w:r>
        <w:rPr>
          <w:rFonts w:ascii="Noto Sans Hebrew" w:hAnsi="Noto Sans Hebrew" w:cs="Noto Sans Hebrew" w:eastAsia="Noto Sans Hebrew"/>
          <w:sz w:val="22"/>
          <w:rtl w:val="1"/>
        </w:rPr>
        <w:t>קובץ הסיפורים העברי נבנה מחדש כ־MD, DOCX ו־PDF.</w:t>
      </w:r>
    </w:p>
    <w:p>
      <w:pPr>
        <w:pStyle w:val="ListBullet"/>
        <w:bidi w:val="1"/>
        <w:spacing w:after="120" w:line="293" w:lineRule="auto"/>
        <w:ind w:firstLine="0" w:right="0" w:left="0"/>
        <w:jc w:val="right"/>
      </w:pPr>
      <w:r>
        <w:rPr>
          <w:rFonts w:ascii="Noto Sans Hebrew" w:hAnsi="Noto Sans Hebrew" w:cs="Noto Sans Hebrew" w:eastAsia="Noto Sans Hebrew"/>
          <w:sz w:val="22"/>
          <w:rtl w:val="1"/>
        </w:rPr>
        <w:t>הפרקים המשולבים בעברית נבנו מחדש עם שער ותוכן עניינים נקיים.</w:t>
      </w:r>
    </w:p>
    <w:p>
      <w:pPr>
        <w:pStyle w:val="ListBullet"/>
        <w:bidi w:val="1"/>
        <w:spacing w:after="120" w:line="293" w:lineRule="auto"/>
        <w:ind w:firstLine="0" w:right="0" w:left="0"/>
        <w:jc w:val="right"/>
      </w:pPr>
      <w:r>
        <w:rPr>
          <w:rFonts w:ascii="Noto Sans Hebrew" w:hAnsi="Noto Sans Hebrew" w:cs="Noto Sans Hebrew" w:eastAsia="Noto Sans Hebrew"/>
          <w:sz w:val="22"/>
          <w:rtl w:val="1"/>
        </w:rPr>
        <w:t>הוגדר RTL עברי עקבי יותר במסמכי Word שנבנו מחדש.</w:t>
      </w:r>
    </w:p>
    <w:p>
      <w:pPr>
        <w:pStyle w:val="ListBullet"/>
        <w:bidi w:val="1"/>
        <w:spacing w:after="120" w:line="293" w:lineRule="auto"/>
        <w:ind w:firstLine="0" w:right="0" w:left="0"/>
        <w:jc w:val="right"/>
      </w:pPr>
      <w:r>
        <w:rPr>
          <w:rFonts w:ascii="Noto Sans Hebrew" w:hAnsi="Noto Sans Hebrew" w:cs="Noto Sans Hebrew" w:eastAsia="Noto Sans Hebrew"/>
          <w:sz w:val="22"/>
          <w:rtl w:val="1"/>
        </w:rPr>
        <w:t>הסיום של “על מה כלבים חולמים” נשמר בדיוק כפי שנדרש: ואז הוא סמיילי מפרק.</w:t>
      </w:r>
    </w:p>
    <w:p>
      <w:pPr>
        <w:pStyle w:val="Heading3"/>
        <w:keepNext/>
        <w:bidi w:val="1"/>
        <w:spacing w:after="160" w:line="293" w:lineRule="auto"/>
        <w:ind w:firstLine="0" w:right="0" w:left="0"/>
        <w:jc w:val="right"/>
      </w:pPr>
      <w:r>
        <w:rPr>
          <w:rFonts w:ascii="Noto Sans Hebrew" w:hAnsi="Noto Sans Hebrew" w:cs="Noto Sans Hebrew" w:eastAsia="Noto Sans Hebrew"/>
          <w:b/>
          <w:color w:val="222A2E"/>
          <w:sz w:val="26"/>
          <w:rtl w:val="1"/>
        </w:rPr>
        <w:t>קבצים מרכזיים שתוקנו/נבנו מחדש</w:t>
      </w:r>
    </w:p>
    <w:p>
      <w:pPr>
        <w:pStyle w:val="ListBullet"/>
        <w:bidi w:val="1"/>
        <w:spacing w:after="120" w:line="293" w:lineRule="auto"/>
        <w:ind w:firstLine="0" w:right="0" w:left="0"/>
        <w:jc w:val="right"/>
      </w:pPr>
      <w:r>
        <w:rPr>
          <w:rFonts w:ascii="Noto Sans Hebrew" w:hAnsi="Noto Sans Hebrew" w:cs="Noto Sans Hebrew" w:eastAsia="Noto Sans Hebrew"/>
          <w:sz w:val="22"/>
          <w:rtl w:val="1"/>
        </w:rPr>
        <w:t>`02_full_theory_documents/HE/between-potential-and-ideal-he.docx`</w:t>
      </w:r>
    </w:p>
    <w:p>
      <w:pPr>
        <w:pStyle w:val="ListBullet"/>
        <w:bidi w:val="1"/>
        <w:spacing w:after="120" w:line="293" w:lineRule="auto"/>
        <w:ind w:firstLine="0" w:right="0" w:left="0"/>
        <w:jc w:val="right"/>
      </w:pPr>
      <w:r>
        <w:rPr>
          <w:rFonts w:ascii="Noto Sans Hebrew" w:hAnsi="Noto Sans Hebrew" w:cs="Noto Sans Hebrew" w:eastAsia="Noto Sans Hebrew"/>
          <w:sz w:val="22"/>
          <w:rtl w:val="1"/>
        </w:rPr>
        <w:t>`02_full_theory_documents/HE/between-potential-and-ideal-he.pdf`</w:t>
      </w:r>
    </w:p>
    <w:p>
      <w:pPr>
        <w:pStyle w:val="ListBullet"/>
        <w:bidi w:val="1"/>
        <w:spacing w:after="120" w:line="293" w:lineRule="auto"/>
        <w:ind w:firstLine="0" w:right="0" w:left="0"/>
        <w:jc w:val="right"/>
      </w:pPr>
      <w:r>
        <w:rPr>
          <w:rFonts w:ascii="Noto Sans Hebrew" w:hAnsi="Noto Sans Hebrew" w:cs="Noto Sans Hebrew" w:eastAsia="Noto Sans Hebrew"/>
          <w:sz w:val="22"/>
          <w:rtl w:val="1"/>
        </w:rPr>
        <w:t>`02_full_theory_documents/HE/between-potential-and-ideal-he.md`</w:t>
      </w:r>
    </w:p>
    <w:p>
      <w:pPr>
        <w:pStyle w:val="ListBullet"/>
        <w:bidi w:val="1"/>
        <w:spacing w:after="120" w:line="293" w:lineRule="auto"/>
        <w:ind w:firstLine="0" w:right="0" w:left="0"/>
        <w:jc w:val="right"/>
      </w:pPr>
      <w:r>
        <w:rPr>
          <w:rFonts w:ascii="Noto Sans Hebrew" w:hAnsi="Noto Sans Hebrew" w:cs="Noto Sans Hebrew" w:eastAsia="Noto Sans Hebrew"/>
          <w:sz w:val="22"/>
          <w:rtl w:val="1"/>
        </w:rPr>
        <w:t>`02_full_theory_documents/HE/between-potential-and-ideal-he-complete-with-stories-and-expansion.docx`</w:t>
      </w:r>
    </w:p>
    <w:p>
      <w:pPr>
        <w:pStyle w:val="ListBullet"/>
        <w:bidi w:val="1"/>
        <w:spacing w:after="120" w:line="293" w:lineRule="auto"/>
        <w:ind w:firstLine="0" w:right="0" w:left="0"/>
        <w:jc w:val="right"/>
      </w:pPr>
      <w:r>
        <w:rPr>
          <w:rFonts w:ascii="Noto Sans Hebrew" w:hAnsi="Noto Sans Hebrew" w:cs="Noto Sans Hebrew" w:eastAsia="Noto Sans Hebrew"/>
          <w:sz w:val="22"/>
          <w:rtl w:val="1"/>
        </w:rPr>
        <w:t>`02_full_theory_documents/HE/stories-before-thought-hebrew-rtl.docx`</w:t>
      </w:r>
    </w:p>
    <w:p>
      <w:pPr>
        <w:pStyle w:val="ListBullet"/>
        <w:bidi w:val="1"/>
        <w:spacing w:after="120" w:line="293" w:lineRule="auto"/>
        <w:ind w:firstLine="0" w:right="0" w:left="0"/>
        <w:jc w:val="right"/>
      </w:pPr>
      <w:r>
        <w:rPr>
          <w:rFonts w:ascii="Noto Sans Hebrew" w:hAnsi="Noto Sans Hebrew" w:cs="Noto Sans Hebrew" w:eastAsia="Noto Sans Hebrew"/>
          <w:sz w:val="22"/>
          <w:rtl w:val="1"/>
        </w:rPr>
        <w:t>`02_full_theory_documents/HE/stories-before-thought-hebrew-rtl.pdf`</w:t>
      </w:r>
    </w:p>
    <w:p>
      <w:pPr>
        <w:pStyle w:val="ListBullet"/>
        <w:bidi w:val="1"/>
        <w:spacing w:after="120" w:line="293" w:lineRule="auto"/>
        <w:ind w:firstLine="0" w:right="0" w:left="0"/>
        <w:jc w:val="right"/>
      </w:pPr>
      <w:r>
        <w:rPr>
          <w:rFonts w:ascii="Noto Sans Hebrew" w:hAnsi="Noto Sans Hebrew" w:cs="Noto Sans Hebrew" w:eastAsia="Noto Sans Hebrew"/>
          <w:sz w:val="22"/>
          <w:rtl w:val="1"/>
        </w:rPr>
        <w:t>`04_combined_expansion_documents/HE/bpi_deep_expansion_he.docx`</w:t>
      </w:r>
    </w:p>
    <w:p>
      <w:pPr>
        <w:pStyle w:val="ListBullet"/>
        <w:bidi w:val="1"/>
        <w:spacing w:after="120" w:line="293" w:lineRule="auto"/>
        <w:ind w:firstLine="0" w:right="0" w:left="0"/>
        <w:jc w:val="right"/>
      </w:pPr>
      <w:r>
        <w:rPr>
          <w:rFonts w:ascii="Noto Sans Hebrew" w:hAnsi="Noto Sans Hebrew" w:cs="Noto Sans Hebrew" w:eastAsia="Noto Sans Hebrew"/>
          <w:sz w:val="22"/>
          <w:rtl w:val="1"/>
        </w:rPr>
        <w:t>`04_combined_expansion_documents/HE/bpi_deep_expansion_he.pdf`</w:t>
      </w:r>
    </w:p>
    <w:p>
      <w:pPr>
        <w:pStyle w:val="ListBullet"/>
        <w:bidi w:val="1"/>
        <w:spacing w:after="120" w:line="293" w:lineRule="auto"/>
        <w:ind w:firstLine="0" w:right="0" w:left="0"/>
        <w:jc w:val="right"/>
      </w:pPr>
      <w:r>
        <w:rPr>
          <w:rFonts w:ascii="Noto Sans Hebrew" w:hAnsi="Noto Sans Hebrew" w:cs="Noto Sans Hebrew" w:eastAsia="Noto Sans Hebrew"/>
          <w:sz w:val="22"/>
          <w:rtl w:val="1"/>
        </w:rPr>
        <w:t>`01_complete_website_archive/.../files/appendices/stories-before-thought-hebrew-rtl.html`</w:t>
      </w:r>
    </w:p>
    <w:p>
      <w:pPr>
        <w:pStyle w:val="Heading3"/>
        <w:keepNext/>
        <w:bidi w:val="1"/>
        <w:spacing w:after="160" w:line="293" w:lineRule="auto"/>
        <w:ind w:firstLine="0" w:right="0" w:left="0"/>
        <w:jc w:val="right"/>
      </w:pPr>
      <w:r>
        <w:rPr>
          <w:rFonts w:ascii="Noto Sans Hebrew" w:hAnsi="Noto Sans Hebrew" w:cs="Noto Sans Hebrew" w:eastAsia="Noto Sans Hebrew"/>
          <w:b/>
          <w:color w:val="222A2E"/>
          <w:sz w:val="26"/>
          <w:rtl w:val="1"/>
        </w:rPr>
        <w:t>החלטה מכוונת</w:t>
      </w:r>
    </w:p>
    <w:p>
      <w:pPr>
        <w:bidi w:val="1"/>
        <w:spacing w:after="120" w:line="293" w:lineRule="auto"/>
        <w:ind w:firstLine="198" w:right="0" w:left="0"/>
        <w:jc w:val="right"/>
      </w:pPr>
      <w:r>
        <w:rPr>
          <w:rFonts w:ascii="Noto Sans Hebrew" w:hAnsi="Noto Sans Hebrew" w:cs="Noto Sans Hebrew" w:eastAsia="Noto Sans Hebrew"/>
          <w:sz w:val="22"/>
          <w:rtl w:val="1"/>
        </w:rPr>
        <w:t>כותרות יצירה מקוריות באנגלית, אם קיימות בתוך גוף הסיפורים עצמם, נשמרו. אבל תוכן העניינים העברי אינו מציג שמות קבצים טכניים באנגלית.</w:t>
      </w:r>
    </w:p>
    <w:sectPr w:rsidR="00FC693F" w:rsidRPr="0006063C" w:rsidSect="00034616">
      <w:footerReference w:type="default" r:id="rId10"/>
      <w:pgSz w:w="11906" w:h="16838"/>
      <w:pgMar w:top="1077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בין פוטנציאל לאידיאל · גרסת הפצה מתוקנת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Hebrew" w:hAnsi="Noto Sans Hebrew" w:cs="Noto Sans Hebrew" w:eastAsia="Noto Sans Hebrew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Hebrew" w:hAnsi="Noto Sans Hebrew" w:cs="Noto Sans Hebrew" w:eastAsia="Noto Sans Hebrew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Hebrew" w:hAnsi="Noto Sans Hebrew" w:cs="Noto Sans Hebrew" w:eastAsia="Noto Sans Hebrew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Hebrew" w:hAnsi="Noto Sans Hebrew" w:cs="Noto Sans Hebrew" w:eastAsia="Noto Sans Hebrew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Hebrew" w:hAnsi="Noto Sans Hebrew" w:cs="Noto Sans Hebrew" w:eastAsia="Noto Sans Hebrew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Hebrew" w:hAnsi="Noto Sans Hebrew" w:cs="Noto Sans Hebrew" w:eastAsia="Noto Sans Hebrew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Hebrew" w:hAnsi="Noto Sans Hebrew" w:cs="Noto Sans Hebrew" w:eastAsia="Noto Sans Hebrew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דוח תיקון שער ותוכן עניינים</dc:title>
  <dc:subject/>
  <dc:creator>Barak Ben Hur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