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DejaVu Sans" w:hAnsi="DejaVu Sans" w:eastAsia="DejaVu Sans"/>
          <w:b/>
          <w:sz w:val="40"/>
          <w:rtl/>
        </w:rPr>
        <w:t>HORIZONS BOUNDARY MAP HE</w:t>
      </w:r>
    </w:p>
    <w:p/>
    <w:p>
      <w:pPr>
        <w:pStyle w:val="Heading1"/>
        <w:bidi w:val="1"/>
        <w:jc w:val="right"/>
      </w:pPr>
      <w:r>
        <w:rPr>
          <w:rtl/>
        </w:rPr>
        <w:t>מפת אופקי גבול</w:t>
      </w:r>
    </w:p>
    <w:p>
      <w:pPr>
        <w:bidi w:val="1"/>
        <w:jc w:val="right"/>
      </w:pPr>
      <w:r>
        <w:rPr>
          <w:rFonts w:ascii="DejaVu Sans" w:hAnsi="DejaVu Sans" w:eastAsia="DejaVu Sans"/>
          <w:sz w:val="21"/>
          <w:rtl/>
        </w:rPr>
        <w:t>אופק מקור, אופק ראיות, אופק קליני, אופק הבנה, אופק פרשנות ואופק תשתיתי שוזרו בזהירות. העיקרון ההולוגרפי נשאר מטאפורה/מודל בלבד ולא הוכחה.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HORIZONS BOUNDARY MAP HE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