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Ключевые числа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400"/>
        <w:gridCol w:w="2250"/>
        <w:gridCol w:w="2455"/>
      </w:tblGrid>
      <w:tr>
        <w:trPr>
          <w:tblHeader/>
        </w:trPr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dv₁ (разгонный с НОО)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перелёта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dv₂ (тормозной)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Промах прицела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 км (порог 500 км)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Суммарно dv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гало, Az = 120 177 км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(±100 км)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Ограничение задания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м/с/год, запас ×130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РБ / ввод на НОО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/ 6 653 кг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миссии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3,49…3,76 км/с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Подробности: перелёт и массы - п. 4 и 7, возмущения, тень и лимит удержания - п. 5 и 6, ограничения расчёта и то, что в нём не моделировалось, - п. 9.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кандидаты: скрининг всех беззатменных, полное уточнение лидеров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400"/>
        <w:gridCol w:w="21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отборе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выбрана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весь перелёт: вид сверху на эклиптику. Трасса 38 %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времени проводит со стороны Солнца - отсюда большой разброс масштабов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2 - старт: НОО 200 км и первые 150 тыс. км пути (тот же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участок трассы, проинтегрированный плотно; включение - с ночной стороны)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4762500" cy="42100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3 - цель: гало и подлёт к нему; звезда - точка входа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(промах 8 км при пороге 500 км)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334000" cy="39147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4 - разрез xz: трасса и гало над конусом полутени Земли;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пунктир - расчитанный порог выхода из тени Az_min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6286500" cy="37147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5 - затенение на перелёте: rho(t) против границы полутени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r_pen(xi) (лог-шкала)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6 - ход перелёта: расстояние xi(t) до Земли по оси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Солнце - Земля -&gt; L2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1337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7 - скорость: |v|(t) трассы и целевой орбиты в точке касания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(штрих-пунктир); вход тормозной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keepLines/>
        <w:widowControl/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рисунки 1-4: та же модель и те же числа (блок AIM в result.txt) - overview (весь перелёт сверху), zoom (первые 150 тыс. км от Земли и подлёт к гало с точкой входа), shadow (конус полутени, порог Az_min, rho(t)), profile (ход xi(t) и |v|(t))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keepLines/>
        <w:widowControl/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Расчёт перелёта НОО → L2 · стр.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PAGE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из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NUMPAGES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1f17ca6abefc58c669edaee53d9c4b789d49ae0.png"/><Relationship Id="rId9" Type="http://schemas.openxmlformats.org/officeDocument/2006/relationships/image" Target="media/85c4f9c6182af6961b8b46df9ab364f3ca2cb8d4.png"/><Relationship Id="rId10" Type="http://schemas.openxmlformats.org/officeDocument/2006/relationships/image" Target="media/12def26be82954ef371924e0a34f8700bb5f54ac.png"/><Relationship Id="rId11" Type="http://schemas.openxmlformats.org/officeDocument/2006/relationships/image" Target="media/3d9ea401472ca836d344215081d978ca5804fddd.png"/><Relationship Id="rId12" Type="http://schemas.openxmlformats.org/officeDocument/2006/relationships/image" Target="media/50957b605c48742c5c260c94cc244ff2ba170d08.png"/><Relationship Id="rId13" Type="http://schemas.openxmlformats.org/officeDocument/2006/relationships/image" Target="media/2ccbc19d64f5c39e513263d9fcfec243ba79eaf5.png"/><Relationship Id="rId14" Type="http://schemas.openxmlformats.org/officeDocument/2006/relationships/image" Target="media/7dca4758e238b0ef9ee2719f3e56b93eaff3d7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2026-10-27T23:00:37.937Z</dcterms:created>
  <dcterms:modified xsi:type="dcterms:W3CDTF">2026-10-27T23:00:37.938Z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