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Расчёт затрат характеристической скорости</w:t>
      </w:r>
    </w:p>
    <w:p>
      <w:pPr>
        <w:spacing w:after="4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на перелёт с НОО на орбиту в окрестности точки L2</w:t>
      </w:r>
    </w:p>
    <w:p>
      <w:pPr>
        <w:spacing w:after="20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системы Солнце—Земля (первое приближение: ограниченная задача трёх тел)</w:t>
      </w:r>
    </w:p>
    <w:p>
      <w:pPr>
        <w:spacing w:after="60" w:before="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Модель: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CR3BP, два импульса (разгонный + тормозной) на разгонном блоке; удержание орбиты — СПД-100ВМ.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Расчёт: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l2_transfer.py, l2_perturb.py (Python 3, numpy/scipy). 27 октября 2026 г.</w:t>
      </w:r>
    </w:p>
    <w:p>
      <w:pPr>
        <w:pStyle w:val="Heading1"/>
        <w:spacing w:after="100" w:before="260" w:line="360"/>
      </w:pPr>
      <w:r>
        <w:rPr>
          <w:rFonts w:ascii="Times New Roman" w:cs="Times New Roman" w:eastAsia="Times New Roman" w:hAnsi="Times New Roman"/>
        </w:rPr>
        <w:t xml:space="preserve">1. Постановка задачи</w:t>
      </w:r>
    </w:p>
    <w:p>
      <w:pPr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 заданию требуется рассчитать затраты характеристической скорости на перелёт с низкой околоземной орбиты на орбиту в окрестности точки L2 системы Солнце—Земля. Решение — в первом приближении, на основе решения задачи трёх тел; перелёт выполняется двумя импульсами: разгонным и тормозным; тип орбиты в окрестности точки Лагранжа выбирается самостоятельно. Перелёт делает разгонный блок, поддержание орбиты — космический аппарат двигателем СПД-100ВМ, и затраты на него не должны превышать 100 м/с в год (по возможности минимальные). Влияние формы лунной орбиты и её прецессии по заданию не учитывается.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6055"/>
      </w:tblGrid>
      <w:tr>
        <w:trPr>
          <w:tblHeader/>
        </w:trPr>
        <w:tc>
          <w:tcPr>
            <w:tcW w:type="dxa" w:w="33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Параметр</w:t>
            </w:r>
          </w:p>
        </w:tc>
        <w:tc>
          <w:tcPr>
            <w:tcW w:type="dxa" w:w="6055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Значение</w:t>
            </w:r>
          </w:p>
        </w:tc>
      </w:tr>
      <w:tr>
        <w:trPr>
          <w:tblHeader w:val="off"/>
        </w:trPr>
        <w:tc>
          <w:tcPr>
            <w:tcW w:type="dxa" w:w="3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Сухая масса КА</w:t>
            </w:r>
          </w:p>
        </w:tc>
        <w:tc>
          <w:tcPr>
            <w:tcW w:type="dxa" w:w="60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1800 кг</w:t>
            </w:r>
          </w:p>
        </w:tc>
      </w:tr>
      <w:tr>
        <w:trPr>
          <w:tblHeader w:val="off"/>
        </w:trPr>
        <w:tc>
          <w:tcPr>
            <w:tcW w:type="dxa" w:w="3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Космодром / разгонный блок</w:t>
            </w:r>
          </w:p>
        </w:tc>
        <w:tc>
          <w:tcPr>
            <w:tcW w:type="dxa" w:w="60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Восточный / КВТК (выполняет оба импульса перелёта)</w:t>
            </w:r>
          </w:p>
        </w:tc>
      </w:tr>
      <w:tr>
        <w:trPr>
          <w:tblHeader w:val="off"/>
        </w:trPr>
        <w:tc>
          <w:tcPr>
            <w:tcW w:type="dxa" w:w="3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Двигатель удержания</w:t>
            </w:r>
          </w:p>
        </w:tc>
        <w:tc>
          <w:tcPr>
            <w:tcW w:type="dxa" w:w="60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СПД-100ВМ (тяга 90 мН, Isp 1600 с, ресурс &gt;15 000 ч)</w:t>
            </w:r>
          </w:p>
        </w:tc>
      </w:tr>
      <w:tr>
        <w:trPr>
          <w:tblHeader w:val="off"/>
        </w:trPr>
        <w:tc>
          <w:tcPr>
            <w:tcW w:type="dxa" w:w="3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Высота НОО</w:t>
            </w:r>
          </w:p>
        </w:tc>
        <w:tc>
          <w:tcPr>
            <w:tcW w:type="dxa" w:w="60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200 км (r = 6 571 км)</w:t>
            </w:r>
          </w:p>
        </w:tc>
      </w:tr>
      <w:tr>
        <w:trPr>
          <w:tblHeader w:val="off"/>
        </w:trPr>
        <w:tc>
          <w:tcPr>
            <w:tcW w:type="dxa" w:w="3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Наклонение НОО</w:t>
            </w:r>
          </w:p>
        </w:tc>
        <w:tc>
          <w:tcPr>
            <w:tcW w:type="dxa" w:w="60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51,6° (прямой старт с Восточного)</w:t>
            </w:r>
          </w:p>
        </w:tc>
      </w:tr>
      <w:tr>
        <w:trPr>
          <w:tblHeader w:val="off"/>
        </w:trPr>
        <w:tc>
          <w:tcPr>
            <w:tcW w:type="dxa" w:w="3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Бюджет удержания</w:t>
            </w:r>
          </w:p>
        </w:tc>
        <w:tc>
          <w:tcPr>
            <w:tcW w:type="dxa" w:w="60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≤ 100 м/с в год, по возможности минимальный</w:t>
            </w:r>
          </w:p>
        </w:tc>
      </w:tr>
      <w:tr>
        <w:trPr>
          <w:tblHeader w:val="off"/>
        </w:trPr>
        <w:tc>
          <w:tcPr>
            <w:tcW w:type="dxa" w:w="3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 учитывается (по заданию)</w:t>
            </w:r>
          </w:p>
        </w:tc>
        <w:tc>
          <w:tcPr>
            <w:tcW w:type="dxa" w:w="60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форма лунной орбиты (e, наклонение) и её прецессии</w:t>
            </w:r>
          </w:p>
        </w:tc>
      </w:tr>
      <w:tr>
        <w:trPr>
          <w:tblHeader w:val="off"/>
        </w:trPr>
        <w:tc>
          <w:tcPr>
            <w:tcW w:type="dxa" w:w="3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Целевая орбита</w:t>
            </w:r>
          </w:p>
        </w:tc>
        <w:tc>
          <w:tcPr>
            <w:tcW w:type="dxa" w:w="60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выбирается расчётом: семейство гало-орбит у L2</w:t>
            </w:r>
          </w:p>
        </w:tc>
      </w:tr>
    </w:tbl>
    <w:p>
      <w:pPr>
        <w:pStyle w:val="Heading1"/>
        <w:spacing w:after="100" w:before="260" w:line="360"/>
      </w:pPr>
      <w:r>
        <w:rPr>
          <w:rFonts w:ascii="Times New Roman" w:cs="Times New Roman" w:eastAsia="Times New Roman" w:hAnsi="Times New Roman"/>
        </w:rPr>
        <w:t xml:space="preserve">2. Модель и методика</w:t>
      </w:r>
    </w:p>
    <w:p>
      <w:pPr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Использована круговая ограниченная задача трёх тел: Солнце и Земля движутся по круговым орбитам вокруг общего центра масс, масса КА не влияет на движение. Единицы: расстояние — 1 а.е. (149 597 871 км), время — 1 орбитальный год / 2π = 58,132 сут, скорость — 29,7847 км/с; μ = GMЗ /G(MС + MЗ) = 3,003481·10⁻⁶.</w:t>
      </w:r>
    </w:p>
    <w:p>
      <w:pPr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Вращающаяся система координат с началом в барицентре, ось x направлена на Землю; угловая скорость ω = 1. Уравнения движения:</w:t>
      </w:r>
    </w:p>
    <w:p>
      <w:pPr>
        <w:spacing w:after="60" w:before="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{ ẍ = 2ẏ + Ω_x ,  ÿ = −2ẋ + Ω_y ,  z̈ = Ω_z ,  Ω = ½(x²+y²) + (1−μ)/r₁ + μ/r₂</w:t>
      </w:r>
    </w:p>
    <w:p>
      <w:pPr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 r₁, r₂ — расстояния до Солнца и Земли. Интеграл Якоби C = 2Ω − v² постоянен вдоль пассивного участка, что и используется для назначения первого импульса.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Точка L2 найдена из условия ∂Ω/∂x = 0 на линии центров: расстояние Земля—L2 = 1 501 532 км (оценка третьего порядка a·(μ/3)^(1/3) = 1 496 557 км), C(L2) = 3,0008867.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Линеаризация у L2: λ = 2,4844 (неустойчивое направление, e-folding = 23,4 сут) и вертикальная частота ω_z = 1,9851 (вертикальный период 184,0 сут) — по ней выбирается точка ветвления планарного семейства.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Семейство орбит: планарные орбиты Ляпунова (две симметричные точки пересечения с осью x), затем переход к третьему измерению методом продолжения — пространственные гало-орбиты, заданные двумя перпендикулярными пересечениями плоскости xz (неизвестные x₀, v_y, T/2; решение — системой из трёх уравнений). Интегрирование: DOP853, rtol 1·10⁻⁹…1·10⁻¹³.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Первый импульс: скорость на радиусе НОО, дающая интеграл Якоби, равный C выбранной орбиты. Его ВЕЛИЧИНА от наклонения не зависит — наклонение задаёт плоскость трассы, а не энергию. Азимут и момент старта выбирают так, чтобы плоскость НОО содержала направление Земля→L2 и была минимально наклонена к эклиптике: при i = 51,6° это i − ε = 28,2°. Что стоит иной наклон, измерено в п. 5.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Второй импульс: перебор угла старта θ и избытка энергии dC с локальной оптимизацией; момент включения — пересечение трассы с целевой орбитой (невязка по месту после уточнения — 8 км, порог 500 км). dv2 = невязка ВЕКТОРОВ скоростей в этой точке (доля вне эклиптики — 72,9 %). Импульс именно тормозной: |v| трассы в точке входа 0,2115 км/с против 0,2111 км/с у орбиты, т.е. по энергии трасса не ниже целевой (dC = 1,94·10⁻⁷, ограничение dC &gt;= 0 наложено конструктивно). Требование «второй импульс тормозной» задано задачей и наложено конструктивно (dC &gt;= 0): без него минимум dv на этой же цели был бы на 12,8 м/с меньше, но второй импульс стал бы разгонным; по всему семейству тормозный вход при этом не дороже минимума dv.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Выбор типа орбиты (по заданию — самостоятельный): минимум суммарного dv среди орбит семейства, которые вовсе не заходят в конус тени Земли И для которых уточнённая трасса действительно попадает на орбиту (промах ≤ 500 км). Грубое перебирание с гладким штрафом «промах/50 м/с на км» служит только стартом для уточнения — критерием оно не является (табл. 1а). Затмение раз в период — это и сброс давления Солнца (ошибка удержания), и питание/терморегулирование; при требовании минимизировать удержание это стоит учитывать.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Массы: оба импульса перелёта делает разгонный блок (Isp = 445 с — криогенная водородная ступень; ТТД КВТК в доступных источниках не найдены, значение принято параметрически, п. 7); удержание делает СПД-100ВМ (Isp = 1600 с, тяга 90 мН, суммарный импульс &gt;4,5 МН·с, ресурс &gt;15 000 ч и &gt;13 000 включений — табл. 3 статьи ОКБ «Факел», 36-55.pdf).</w:t>
      </w:r>
    </w:p>
    <w:p>
      <w:pPr>
        <w:pStyle w:val="Heading1"/>
        <w:spacing w:after="100" w:before="260" w:line="360"/>
      </w:pPr>
      <w:r>
        <w:rPr>
          <w:rFonts w:ascii="Times New Roman" w:cs="Times New Roman" w:eastAsia="Times New Roman" w:hAnsi="Times New Roman"/>
        </w:rPr>
        <w:t xml:space="preserve">3. Семейство орбит в окрестности L2 и выбор целевой</w:t>
      </w:r>
    </w:p>
    <w:p>
      <w:pPr>
        <w:spacing w:after="60" w:before="60" w:line="36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Таблица 1 — орбиты, рассчитанные продолжением от планарного семейства, и время их пребывания в тени Земли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150"/>
        <w:gridCol w:w="800"/>
        <w:gridCol w:w="1400"/>
        <w:gridCol w:w="1600"/>
        <w:gridCol w:w="800"/>
        <w:gridCol w:w="1300"/>
        <w:gridCol w:w="1305"/>
      </w:tblGrid>
      <w:tr>
        <w:trPr>
          <w:tblHeader/>
        </w:trPr>
        <w:tc>
          <w:tcPr>
            <w:tcW w:type="dxa" w:w="10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Az, км</w:t>
            </w:r>
          </w:p>
        </w:tc>
        <w:tc>
          <w:tcPr>
            <w:tcW w:type="dxa" w:w="115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Ax, км</w:t>
            </w:r>
          </w:p>
        </w:tc>
        <w:tc>
          <w:tcPr>
            <w:tcW w:type="dxa" w:w="8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T, сут</w:t>
            </w:r>
          </w:p>
        </w:tc>
        <w:tc>
          <w:tcPr>
            <w:tcW w:type="dxa" w:w="14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C</w:t>
            </w:r>
          </w:p>
        </w:tc>
        <w:tc>
          <w:tcPr>
            <w:tcW w:type="dxa" w:w="16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min r от Земли, км</w:t>
            </w:r>
          </w:p>
        </w:tc>
        <w:tc>
          <w:tcPr>
            <w:tcW w:type="dxa" w:w="8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v, км/с</w:t>
            </w:r>
          </w:p>
        </w:tc>
        <w:tc>
          <w:tcPr>
            <w:tcW w:type="dxa" w:w="13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полная тень, %</w:t>
            </w:r>
          </w:p>
        </w:tc>
        <w:tc>
          <w:tcPr>
            <w:tcW w:type="dxa" w:w="1305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полутень, %</w:t>
            </w:r>
          </w:p>
        </w:tc>
      </w:tr>
      <w:tr>
        <w:trPr>
          <w:tblHeader w:val="off"/>
        </w:trPr>
        <w:tc>
          <w:tcPr>
            <w:tcW w:type="dxa" w:w="1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4 488</w:t>
            </w:r>
          </w:p>
        </w:tc>
        <w:tc>
          <w:tcPr>
            <w:tcW w:type="dxa" w:w="11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247 118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180,4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3,0008190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1 254 422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0,290</w:t>
            </w:r>
          </w:p>
        </w:tc>
        <w:tc>
          <w:tcPr>
            <w:tcW w:type="dxa" w:w="1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</w:t>
            </w:r>
          </w:p>
        </w:tc>
        <w:tc>
          <w:tcPr>
            <w:tcW w:type="dxa" w:w="130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1,7</w:t>
            </w:r>
          </w:p>
        </w:tc>
      </w:tr>
      <w:tr>
        <w:trPr>
          <w:tblHeader w:val="off"/>
        </w:trPr>
        <w:tc>
          <w:tcPr>
            <w:tcW w:type="dxa" w:w="1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18 949</w:t>
            </w:r>
          </w:p>
        </w:tc>
        <w:tc>
          <w:tcPr>
            <w:tcW w:type="dxa" w:w="11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247 369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180,4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3,0008189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1 254 306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0,291</w:t>
            </w:r>
          </w:p>
        </w:tc>
        <w:tc>
          <w:tcPr>
            <w:tcW w:type="dxa" w:w="1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</w:t>
            </w:r>
          </w:p>
        </w:tc>
        <w:tc>
          <w:tcPr>
            <w:tcW w:type="dxa" w:w="130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</w:t>
            </w:r>
          </w:p>
        </w:tc>
      </w:tr>
      <w:tr>
        <w:trPr>
          <w:tblHeader w:val="off"/>
        </w:trPr>
        <w:tc>
          <w:tcPr>
            <w:tcW w:type="dxa" w:w="1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24 553</w:t>
            </w:r>
          </w:p>
        </w:tc>
        <w:tc>
          <w:tcPr>
            <w:tcW w:type="dxa" w:w="11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247 550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180,4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3,0008188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1 254 222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0,291</w:t>
            </w:r>
          </w:p>
        </w:tc>
        <w:tc>
          <w:tcPr>
            <w:tcW w:type="dxa" w:w="1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</w:t>
            </w:r>
          </w:p>
        </w:tc>
        <w:tc>
          <w:tcPr>
            <w:tcW w:type="dxa" w:w="130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</w:t>
            </w:r>
          </w:p>
        </w:tc>
      </w:tr>
      <w:tr>
        <w:trPr>
          <w:tblHeader w:val="off"/>
        </w:trPr>
        <w:tc>
          <w:tcPr>
            <w:tcW w:type="dxa" w:w="1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33 410</w:t>
            </w:r>
          </w:p>
        </w:tc>
        <w:tc>
          <w:tcPr>
            <w:tcW w:type="dxa" w:w="11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247 931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180,4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3,0008186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1 254 046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0,291</w:t>
            </w:r>
          </w:p>
        </w:tc>
        <w:tc>
          <w:tcPr>
            <w:tcW w:type="dxa" w:w="1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</w:t>
            </w:r>
          </w:p>
        </w:tc>
        <w:tc>
          <w:tcPr>
            <w:tcW w:type="dxa" w:w="130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</w:t>
            </w:r>
          </w:p>
        </w:tc>
      </w:tr>
      <w:tr>
        <w:trPr>
          <w:tblHeader w:val="off"/>
        </w:trPr>
        <w:tc>
          <w:tcPr>
            <w:tcW w:type="dxa" w:w="1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47 871</w:t>
            </w:r>
          </w:p>
        </w:tc>
        <w:tc>
          <w:tcPr>
            <w:tcW w:type="dxa" w:w="11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248 809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180,3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3,0008181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1 253 638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0,292</w:t>
            </w:r>
          </w:p>
        </w:tc>
        <w:tc>
          <w:tcPr>
            <w:tcW w:type="dxa" w:w="1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</w:t>
            </w:r>
          </w:p>
        </w:tc>
        <w:tc>
          <w:tcPr>
            <w:tcW w:type="dxa" w:w="130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</w:t>
            </w:r>
          </w:p>
        </w:tc>
      </w:tr>
      <w:tr>
        <w:trPr>
          <w:tblHeader w:val="off"/>
        </w:trPr>
        <w:tc>
          <w:tcPr>
            <w:tcW w:type="dxa" w:w="1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62 332</w:t>
            </w:r>
          </w:p>
        </w:tc>
        <w:tc>
          <w:tcPr>
            <w:tcW w:type="dxa" w:w="11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250 004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180,3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3,0008174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1 253 079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0,292</w:t>
            </w:r>
          </w:p>
        </w:tc>
        <w:tc>
          <w:tcPr>
            <w:tcW w:type="dxa" w:w="1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</w:t>
            </w:r>
          </w:p>
        </w:tc>
        <w:tc>
          <w:tcPr>
            <w:tcW w:type="dxa" w:w="130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</w:t>
            </w:r>
          </w:p>
        </w:tc>
      </w:tr>
      <w:tr>
        <w:trPr>
          <w:tblHeader w:val="off"/>
        </w:trPr>
        <w:tc>
          <w:tcPr>
            <w:tcW w:type="dxa" w:w="1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76 794</w:t>
            </w:r>
          </w:p>
        </w:tc>
        <w:tc>
          <w:tcPr>
            <w:tcW w:type="dxa" w:w="11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251 485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180,3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3,0008165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1 252 403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0,293</w:t>
            </w:r>
          </w:p>
        </w:tc>
        <w:tc>
          <w:tcPr>
            <w:tcW w:type="dxa" w:w="1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</w:t>
            </w:r>
          </w:p>
        </w:tc>
        <w:tc>
          <w:tcPr>
            <w:tcW w:type="dxa" w:w="130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</w:t>
            </w:r>
          </w:p>
        </w:tc>
      </w:tr>
      <w:tr>
        <w:trPr>
          <w:tblHeader w:val="off"/>
        </w:trPr>
        <w:tc>
          <w:tcPr>
            <w:tcW w:type="dxa" w:w="1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91 255</w:t>
            </w:r>
          </w:p>
        </w:tc>
        <w:tc>
          <w:tcPr>
            <w:tcW w:type="dxa" w:w="11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253 295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180,3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3,0008155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1 251 568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0,295</w:t>
            </w:r>
          </w:p>
        </w:tc>
        <w:tc>
          <w:tcPr>
            <w:tcW w:type="dxa" w:w="1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</w:t>
            </w:r>
          </w:p>
        </w:tc>
        <w:tc>
          <w:tcPr>
            <w:tcW w:type="dxa" w:w="130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</w:t>
            </w:r>
          </w:p>
        </w:tc>
      </w:tr>
      <w:tr>
        <w:trPr>
          <w:tblHeader w:val="off"/>
        </w:trPr>
        <w:tc>
          <w:tcPr>
            <w:tcW w:type="dxa" w:w="1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105 716</w:t>
            </w:r>
          </w:p>
        </w:tc>
        <w:tc>
          <w:tcPr>
            <w:tcW w:type="dxa" w:w="11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255 420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180,3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3,0008143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1 250 588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0,296</w:t>
            </w:r>
          </w:p>
        </w:tc>
        <w:tc>
          <w:tcPr>
            <w:tcW w:type="dxa" w:w="1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</w:t>
            </w:r>
          </w:p>
        </w:tc>
        <w:tc>
          <w:tcPr>
            <w:tcW w:type="dxa" w:w="130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</w:t>
            </w:r>
          </w:p>
        </w:tc>
      </w:tr>
      <w:tr>
        <w:trPr>
          <w:tblHeader w:val="off"/>
        </w:trPr>
        <w:tc>
          <w:tcPr>
            <w:tcW w:type="dxa" w:w="1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120 177</w:t>
            </w:r>
          </w:p>
        </w:tc>
        <w:tc>
          <w:tcPr>
            <w:tcW w:type="dxa" w:w="11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257 860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180,3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3,0008129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1 249 465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0,298</w:t>
            </w:r>
          </w:p>
        </w:tc>
        <w:tc>
          <w:tcPr>
            <w:tcW w:type="dxa" w:w="1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</w:t>
            </w:r>
          </w:p>
        </w:tc>
        <w:tc>
          <w:tcPr>
            <w:tcW w:type="dxa" w:w="130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</w:t>
            </w:r>
          </w:p>
        </w:tc>
      </w:tr>
      <w:tr>
        <w:trPr>
          <w:tblHeader w:val="off"/>
        </w:trPr>
        <w:tc>
          <w:tcPr>
            <w:tcW w:type="dxa" w:w="1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134 638</w:t>
            </w:r>
          </w:p>
        </w:tc>
        <w:tc>
          <w:tcPr>
            <w:tcW w:type="dxa" w:w="11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260 618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180,3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3,0008113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1 248 196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0,299</w:t>
            </w:r>
          </w:p>
        </w:tc>
        <w:tc>
          <w:tcPr>
            <w:tcW w:type="dxa" w:w="1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</w:t>
            </w:r>
          </w:p>
        </w:tc>
        <w:tc>
          <w:tcPr>
            <w:tcW w:type="dxa" w:w="130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</w:t>
            </w:r>
          </w:p>
        </w:tc>
      </w:tr>
    </w:tbl>
    <w:p>
      <w:pPr>
        <w:spacing w:after="60" w:before="8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Период целевой орбиты 180,3 сут согласуется с известными миссиями: у SOHO и ACE период гало/орбиты Лиссажу в системе Солнце—Земля составил 178 сут. С амплитудой растут C (энергия) и v_rot, т.е. dv1; в расчётном диапазоне это изменение составляет не более нескольких м/с, поэтому выбор орбиты определяется вторым импульсом и требованием к удержанию.</w:t>
      </w:r>
    </w:p>
    <w:p>
      <w:pPr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Геометрия тени посчитана в модели, а не взята из справки: конус полной тени Земли заканчивается в 1 382 030 км за Землёй, т.е. до L2 (1 501 532 км) не дотягивается — полной тени у L2 нет. Радиус конуса полутени на расстоянии L2 — 13 421 км, поэтому затмение получает любая орбита, у которой минимальное расстояние до оси Солнце—Земля меньше этого (для гало оно практически равно амплитуде Az).</w:t>
      </w:r>
    </w:p>
    <w:p>
      <w:pPr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Порог, посчитанный не по геометрии, а по самой орбите (бинарный поиск по семейству): Az_min = 12 276 км — чуть ниже геометрического, потому что ближайшее к оси Солнце—Земля место у этих орбит лежит не на расстоянии L2, а ближе к Земле, где конус полутени уже.</w:t>
      </w:r>
    </w:p>
    <w:p>
      <w:pPr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У выбранной орбиты (Az = 120 177 км) расчёт даёт 0,0 % времени в полутени (0,0 % в полной тени), а у минимальной в таблице (Az = 4 488 км) — 1,7 % орбиты. Выбор цели (по заданию — самостоятельный): минимум суммарного dv среди беззатменных орбит, чья УТОЧНЁННАЯ трасса попадает на орбиту (промах ≤ 500 км); грубый перебор со штрафом промах/50 служит только стартом для уточнения.</w:t>
      </w:r>
    </w:p>
    <w:p>
      <w:pPr>
        <w:spacing w:after="60" w:before="60" w:line="36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Таблица 1а — уточнённые кандидаты (строка «ДА» - принятая цель)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600"/>
        <w:gridCol w:w="1400"/>
        <w:gridCol w:w="1400"/>
        <w:gridCol w:w="1500"/>
        <w:gridCol w:w="2055"/>
      </w:tblGrid>
      <w:tr>
        <w:trPr>
          <w:tblHeader/>
        </w:trPr>
        <w:tc>
          <w:tcPr>
            <w:tcW w:type="dxa" w:w="14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Az, км</w:t>
            </w:r>
          </w:p>
        </w:tc>
        <w:tc>
          <w:tcPr>
            <w:tcW w:type="dxa" w:w="16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dv1+dv2, м/с</w:t>
            </w:r>
          </w:p>
        </w:tc>
        <w:tc>
          <w:tcPr>
            <w:tcW w:type="dxa" w:w="14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промах, км</w:t>
            </w:r>
          </w:p>
        </w:tc>
        <w:tc>
          <w:tcPr>
            <w:tcW w:type="dxa" w:w="14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время, сут</w:t>
            </w:r>
          </w:p>
        </w:tc>
        <w:tc>
          <w:tcPr>
            <w:tcW w:type="dxa" w:w="15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тормозной?</w:t>
            </w:r>
          </w:p>
        </w:tc>
        <w:tc>
          <w:tcPr>
            <w:tcW w:type="dxa" w:w="2055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принято</w:t>
            </w:r>
          </w:p>
        </w:tc>
      </w:tr>
      <w:tr>
        <w:trPr>
          <w:tblHeader w:val="off"/>
        </w:trPr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18 949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3396,5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48743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203,5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НЕТ</w:t>
            </w:r>
          </w:p>
        </w:tc>
        <w:tc>
          <w:tcPr>
            <w:tcW w:type="dxa" w:w="20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—</w:t>
            </w:r>
          </w:p>
        </w:tc>
      </w:tr>
      <w:tr>
        <w:trPr>
          <w:tblHeader w:val="off"/>
        </w:trPr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24 553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3395,9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42526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203,5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НЕТ</w:t>
            </w:r>
          </w:p>
        </w:tc>
        <w:tc>
          <w:tcPr>
            <w:tcW w:type="dxa" w:w="20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—</w:t>
            </w:r>
          </w:p>
        </w:tc>
      </w:tr>
      <w:tr>
        <w:trPr>
          <w:tblHeader w:val="off"/>
        </w:trPr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33 410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3395,8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32505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203,5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НЕТ</w:t>
            </w:r>
          </w:p>
        </w:tc>
        <w:tc>
          <w:tcPr>
            <w:tcW w:type="dxa" w:w="20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—</w:t>
            </w:r>
          </w:p>
        </w:tc>
      </w:tr>
      <w:tr>
        <w:trPr>
          <w:tblHeader w:val="off"/>
        </w:trPr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47 871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3394,9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16985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203,5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НЕТ</w:t>
            </w:r>
          </w:p>
        </w:tc>
        <w:tc>
          <w:tcPr>
            <w:tcW w:type="dxa" w:w="20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—</w:t>
            </w:r>
          </w:p>
        </w:tc>
      </w:tr>
      <w:tr>
        <w:trPr>
          <w:tblHeader w:val="off"/>
        </w:trPr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62 332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3393,3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1989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203,5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НЕТ</w:t>
            </w:r>
          </w:p>
        </w:tc>
        <w:tc>
          <w:tcPr>
            <w:tcW w:type="dxa" w:w="20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—</w:t>
            </w:r>
          </w:p>
        </w:tc>
      </w:tr>
      <w:tr>
        <w:trPr>
          <w:tblHeader w:val="off"/>
        </w:trPr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76 794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3336,1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534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189,6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  <w:tc>
          <w:tcPr>
            <w:tcW w:type="dxa" w:w="20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—</w:t>
            </w:r>
          </w:p>
        </w:tc>
      </w:tr>
      <w:tr>
        <w:trPr>
          <w:tblHeader w:val="off"/>
        </w:trPr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91 255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3326,5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447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189,5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  <w:tc>
          <w:tcPr>
            <w:tcW w:type="dxa" w:w="20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—</w:t>
            </w:r>
          </w:p>
        </w:tc>
      </w:tr>
      <w:tr>
        <w:trPr>
          <w:tblHeader w:val="off"/>
        </w:trPr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105 716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3322,8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440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190,2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  <w:tc>
          <w:tcPr>
            <w:tcW w:type="dxa" w:w="20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—</w:t>
            </w:r>
          </w:p>
        </w:tc>
      </w:tr>
      <w:tr>
        <w:trPr>
          <w:tblHeader w:val="off"/>
        </w:trPr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120 177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3324,2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390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191,0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  <w:tc>
          <w:tcPr>
            <w:tcW w:type="dxa" w:w="20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—</w:t>
            </w:r>
          </w:p>
        </w:tc>
      </w:tr>
      <w:tr>
        <w:trPr>
          <w:tblHeader w:val="off"/>
        </w:trPr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134 638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3750,3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2715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146,8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НЕТ</w:t>
            </w:r>
          </w:p>
        </w:tc>
        <w:tc>
          <w:tcPr>
            <w:tcW w:type="dxa" w:w="20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—</w:t>
            </w:r>
          </w:p>
        </w:tc>
      </w:tr>
      <w:tr>
        <w:trPr>
          <w:tblHeader w:val="off"/>
        </w:trPr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105 716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3322,7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418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190,2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НЕТ</w:t>
            </w:r>
          </w:p>
        </w:tc>
        <w:tc>
          <w:tcPr>
            <w:tcW w:type="dxa" w:w="20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—</w:t>
            </w:r>
          </w:p>
        </w:tc>
      </w:tr>
      <w:tr>
        <w:trPr>
          <w:tblHeader w:val="off"/>
        </w:trPr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120 177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3324,5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8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190,9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  <w:tc>
          <w:tcPr>
            <w:tcW w:type="dxa" w:w="20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—</w:t>
            </w:r>
          </w:p>
        </w:tc>
      </w:tr>
      <w:tr>
        <w:trPr>
          <w:tblHeader w:val="off"/>
        </w:trPr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91 255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3325,7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19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189,5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  <w:tc>
          <w:tcPr>
            <w:tcW w:type="dxa" w:w="20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—</w:t>
            </w:r>
          </w:p>
        </w:tc>
      </w:tr>
      <w:tr>
        <w:trPr>
          <w:tblHeader w:val="off"/>
        </w:trPr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120 177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3324,5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8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190,9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  <w:tc>
          <w:tcPr>
            <w:tcW w:type="dxa" w:w="20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—</w:t>
            </w:r>
          </w:p>
        </w:tc>
      </w:tr>
    </w:tbl>
    <w:p>
      <w:pPr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сетку добавлена орбита с двукратным запасом по порогу тени (2·12 276 = 24 552 км): за год радиус полутени у L2 меняется лишь на ±118 км, так что запас двукратный, а не формальный; dv по семье при этом меняется на единицы м/с (табл. 1 и 1а).</w:t>
      </w:r>
    </w:p>
    <w:p>
      <w:pPr>
        <w:pStyle w:val="Heading1"/>
        <w:spacing w:after="100" w:before="260" w:line="360"/>
      </w:pPr>
      <w:r>
        <w:rPr>
          <w:rFonts w:ascii="Times New Roman" w:cs="Times New Roman" w:eastAsia="Times New Roman" w:hAnsi="Times New Roman"/>
        </w:rPr>
        <w:t xml:space="preserve">4. Перелёт и характеристическая скорость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55"/>
        <w:gridCol w:w="3400"/>
      </w:tblGrid>
      <w:tr>
        <w:trPr>
          <w:tblHeader/>
        </w:trPr>
        <w:tc>
          <w:tcPr>
            <w:tcW w:type="dxa" w:w="5955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Величина</w:t>
            </w:r>
          </w:p>
        </w:tc>
        <w:tc>
          <w:tcPr>
            <w:tcW w:type="dxa" w:w="34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Значение</w:t>
            </w:r>
          </w:p>
        </w:tc>
      </w:tr>
      <w:tr>
        <w:trPr>
          <w:tblHeader w:val="off"/>
        </w:trPr>
        <w:tc>
          <w:tcPr>
            <w:tcW w:type="dxa" w:w="59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Целевая орбита (гало)</w:t>
            </w:r>
          </w:p>
        </w:tc>
        <w:tc>
          <w:tcPr>
            <w:tcW w:type="dxa" w:w="3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Az = 120 177 км, Ax = 257 860 км</w:t>
            </w:r>
          </w:p>
        </w:tc>
      </w:tr>
      <w:tr>
        <w:trPr>
          <w:tblHeader w:val="off"/>
        </w:trPr>
        <w:tc>
          <w:tcPr>
            <w:tcW w:type="dxa" w:w="59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Период целевой орбиты</w:t>
            </w:r>
          </w:p>
        </w:tc>
        <w:tc>
          <w:tcPr>
            <w:tcW w:type="dxa" w:w="3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180,3 сут</w:t>
            </w:r>
          </w:p>
        </w:tc>
      </w:tr>
      <w:tr>
        <w:trPr>
          <w:tblHeader w:val="off"/>
        </w:trPr>
        <w:tc>
          <w:tcPr>
            <w:tcW w:type="dxa" w:w="59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Интеграл Якоби целевой орбиты</w:t>
            </w:r>
          </w:p>
        </w:tc>
        <w:tc>
          <w:tcPr>
            <w:tcW w:type="dxa" w:w="3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3,0008129</w:t>
            </w:r>
          </w:p>
        </w:tc>
      </w:tr>
      <w:tr>
        <w:trPr>
          <w:tblHeader w:val="off"/>
        </w:trPr>
        <w:tc>
          <w:tcPr>
            <w:tcW w:type="dxa" w:w="59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Угол старта в плоскости НОО</w:t>
            </w:r>
          </w:p>
        </w:tc>
        <w:tc>
          <w:tcPr>
            <w:tcW w:type="dxa" w:w="3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343,5°</w:t>
            </w:r>
          </w:p>
        </w:tc>
      </w:tr>
      <w:tr>
        <w:trPr>
          <w:tblHeader w:val="off"/>
        </w:trPr>
        <w:tc>
          <w:tcPr>
            <w:tcW w:type="dxa" w:w="59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Затмение на целевой орбите</w:t>
            </w:r>
          </w:p>
        </w:tc>
        <w:tc>
          <w:tcPr>
            <w:tcW w:type="dxa" w:w="3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нет: 0,0 % периода в полутени, 0,0 % в полной</w:t>
            </w:r>
          </w:p>
        </w:tc>
      </w:tr>
      <w:tr>
        <w:trPr>
          <w:tblHeader w:val="off"/>
        </w:trPr>
        <w:tc>
          <w:tcPr>
            <w:tcW w:type="dxa" w:w="59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Скорость после 1-го импульса (относительно Земли)</w:t>
            </w:r>
          </w:p>
        </w:tc>
        <w:tc>
          <w:tcPr>
            <w:tcW w:type="dxa" w:w="3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10,9825 км/с</w:t>
            </w:r>
          </w:p>
        </w:tc>
      </w:tr>
      <w:tr>
        <w:trPr>
          <w:tblHeader w:val="off"/>
        </w:trPr>
        <w:tc>
          <w:tcPr>
            <w:tcW w:type="dxa" w:w="59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dv1 — разгонный импульс</w:t>
            </w:r>
          </w:p>
        </w:tc>
        <w:tc>
          <w:tcPr>
            <w:tcW w:type="dxa" w:w="3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3194,0 м/с</w:t>
            </w:r>
          </w:p>
        </w:tc>
      </w:tr>
      <w:tr>
        <w:trPr>
          <w:tblHeader w:val="off"/>
        </w:trPr>
        <w:tc>
          <w:tcPr>
            <w:tcW w:type="dxa" w:w="59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Время активного перелёта</w:t>
            </w:r>
          </w:p>
        </w:tc>
        <w:tc>
          <w:tcPr>
            <w:tcW w:type="dxa" w:w="3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190,9 сут</w:t>
            </w:r>
          </w:p>
        </w:tc>
      </w:tr>
      <w:tr>
        <w:trPr>
          <w:tblHeader w:val="off"/>
        </w:trPr>
        <w:tc>
          <w:tcPr>
            <w:tcW w:type="dxa" w:w="59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Радиус в момент 2-го импульса</w:t>
            </w:r>
          </w:p>
        </w:tc>
        <w:tc>
          <w:tcPr>
            <w:tcW w:type="dxa" w:w="3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1 664 485 км от Земли</w:t>
            </w:r>
          </w:p>
        </w:tc>
      </w:tr>
      <w:tr>
        <w:trPr>
          <w:tblHeader w:val="off"/>
        </w:trPr>
        <w:tc>
          <w:tcPr>
            <w:tcW w:type="dxa" w:w="59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dv2 — второй импульс (тормозной)</w:t>
            </w:r>
          </w:p>
        </w:tc>
        <w:tc>
          <w:tcPr>
            <w:tcW w:type="dxa" w:w="3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130,5 м/с</w:t>
            </w:r>
          </w:p>
        </w:tc>
      </w:tr>
      <w:tr>
        <w:trPr>
          <w:tblHeader w:val="off"/>
        </w:trPr>
        <w:tc>
          <w:tcPr>
            <w:tcW w:type="dxa" w:w="59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Суммарная характеристическая скорость dv</w:t>
            </w:r>
          </w:p>
        </w:tc>
        <w:tc>
          <w:tcPr>
            <w:tcW w:type="dxa" w:w="3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3324 м/с</w:t>
            </w:r>
          </w:p>
        </w:tc>
      </w:tr>
    </w:tbl>
    <w:p>
      <w:pPr>
        <w:spacing w:after="60" w:before="8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Сверка с независимым расчётом: в работе Боровина, Ильина и др. (ИПМ им. М.В. Келдыша РАН) для перелёта КА «Спектр-РГ» с НОО (h = 196,5 км, i = 51,611° — то же наклонение, что принято здесь для Восточного) на гало-орбиту вокруг L2 приведён импульс перехода 3,195 км/с — то же значение, что получено здесь (dv1 = 3194,0 м/с) при другой амплитуде целевой орбиты.</w:t>
      </w:r>
    </w:p>
    <w:p>
      <w:pPr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Контроль численного решения: постоянство интеграла Якоби: min 3,0008127107  max 3,0008127107 (дрейф 4,6·10⁻¹³); C coast vs C(орбиты) - dC: 3,0008127107 vs 3,0008127107 (разность -3,3·10⁻¹³); min r(Земля) на перелёте = 6 571 км, min r(L2) = 58 566 км; оскулирующая орбита отлёта в геоцентрической СК: a = 564 350 км, e = 0,988, апогей = 1 122 128 км; замыкание гало-орбиты за период: невязка 5,6·10⁻¹⁰ а.е.</w:t>
      </w:r>
    </w:p>
    <w:p>
      <w:pPr>
        <w:spacing w:after="60" w:before="60" w:line="36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Рисунок 1 - трасса перелёта НОО -&gt; гало у L2 (plot_traj.py по числам result.txt): наклон плоскости выведения 28,2°, конус полутени Земли и порог Az_min</w:t>
      </w:r>
    </w:p>
    <w:p>
      <w:pPr>
        <w:spacing w:after="60" w:before="60" w:line="360"/>
        <w:jc w:val="center"/>
      </w:pPr>
      <w:r>
        <w:drawing>
          <wp:inline distT="0" distB="0" distL="0" distR="0">
            <wp:extent cx="5905500" cy="2647950"/>
            <wp:effectExtent t="0" r="0" b="0" l="0"/>
            <wp:docPr id="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Рисунок 2 - данные по этой же трассе: ξ(t), |v|(t) с точкой касания орбиты,</w:t>
      </w:r>
    </w:p>
    <w:p>
      <w:pPr>
        <w:spacing w:after="60" w:before="60" w:line="36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затенение на перелёте и проектные числа, прочитанные из result.txt</w:t>
      </w:r>
    </w:p>
    <w:p>
      <w:pPr>
        <w:spacing w:after="60" w:before="60" w:line="360"/>
        <w:jc w:val="center"/>
      </w:pPr>
      <w:r>
        <w:drawing>
          <wp:inline distT="0" distB="0" distL="0" distR="0">
            <wp:extent cx="5334000" cy="3552825"/>
            <wp:effectExtent t="0" r="0" b="0" l="0"/>
            <wp:docPr id="2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spacing w:after="100" w:before="260" w:line="360"/>
      </w:pPr>
      <w:r>
        <w:rPr>
          <w:rFonts w:ascii="Times New Roman" w:cs="Times New Roman" w:eastAsia="Times New Roman" w:hAnsi="Times New Roman"/>
        </w:rPr>
        <w:t xml:space="preserve">5. Плоскость выведения: что стоит трасса не в эклиптике</w:t>
      </w:r>
    </w:p>
    <w:p>
      <w:pPr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Первый импульс задаёт не только энергию, но и плоскость: трасса лежит в плоскости НОО, повёрнутой к эклиптике на 28,2° (минимум при i = 51,6°). Ниже — одна и та же трасса и та же цель (гало эклиптической семьи) при разном наклоне плоскости; dv2 дана при штатном прицеле и после локального переприцеливания по (θ, dC).</w:t>
      </w:r>
    </w:p>
    <w:p>
      <w:pPr>
        <w:spacing w:after="60" w:before="60" w:line="36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Таблица 2 — влияние наклона плоскости выведения (l2_perturb.py, п. 1)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0"/>
        <w:gridCol w:w="900"/>
        <w:gridCol w:w="900"/>
        <w:gridCol w:w="1100"/>
        <w:gridCol w:w="1750"/>
        <w:gridCol w:w="1400"/>
        <w:gridCol w:w="800"/>
        <w:gridCol w:w="1555"/>
      </w:tblGrid>
      <w:tr>
        <w:trPr>
          <w:tblHeader/>
        </w:trPr>
        <w:tc>
          <w:tcPr>
            <w:tcW w:type="dxa" w:w="95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наклон, °</w:t>
            </w:r>
          </w:p>
        </w:tc>
        <w:tc>
          <w:tcPr>
            <w:tcW w:type="dxa" w:w="9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dv1, м/с</w:t>
            </w:r>
          </w:p>
        </w:tc>
        <w:tc>
          <w:tcPr>
            <w:tcW w:type="dxa" w:w="9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dv2, м/с</w:t>
            </w:r>
          </w:p>
        </w:tc>
        <w:tc>
          <w:tcPr>
            <w:tcW w:type="dxa" w:w="11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промах, км</w:t>
            </w:r>
          </w:p>
        </w:tc>
        <w:tc>
          <w:tcPr>
            <w:tcW w:type="dxa" w:w="175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dv2 после переприцеливания, м/с</w:t>
            </w:r>
          </w:p>
        </w:tc>
        <w:tc>
          <w:tcPr>
            <w:tcW w:type="dxa" w:w="14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промах после него, км</w:t>
            </w:r>
          </w:p>
        </w:tc>
        <w:tc>
          <w:tcPr>
            <w:tcW w:type="dxa" w:w="8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тоф, сут</w:t>
            </w:r>
          </w:p>
        </w:tc>
        <w:tc>
          <w:tcPr>
            <w:tcW w:type="dxa" w:w="1555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доля вне эклиптики, %</w:t>
            </w:r>
          </w:p>
        </w:tc>
      </w:tr>
      <w:tr>
        <w:trPr>
          <w:tblHeader w:val="off"/>
        </w:trPr>
        <w:tc>
          <w:tcPr>
            <w:tcW w:type="dxa" w:w="9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</w:t>
            </w:r>
          </w:p>
        </w:tc>
        <w:tc>
          <w:tcPr>
            <w:tcW w:type="dxa" w:w="9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3194,1</w:t>
            </w:r>
          </w:p>
        </w:tc>
        <w:tc>
          <w:tcPr>
            <w:tcW w:type="dxa" w:w="9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121,6</w:t>
            </w:r>
          </w:p>
        </w:tc>
        <w:tc>
          <w:tcPr>
            <w:tcW w:type="dxa" w:w="1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110 795</w:t>
            </w:r>
          </w:p>
        </w:tc>
        <w:tc>
          <w:tcPr>
            <w:tcW w:type="dxa" w:w="17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112,6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576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196,9</w:t>
            </w:r>
          </w:p>
        </w:tc>
        <w:tc>
          <w:tcPr>
            <w:tcW w:type="dxa" w:w="15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31,8 / 48,2</w:t>
            </w:r>
          </w:p>
        </w:tc>
      </w:tr>
      <w:tr>
        <w:trPr>
          <w:tblHeader w:val="off"/>
        </w:trPr>
        <w:tc>
          <w:tcPr>
            <w:tcW w:type="dxa" w:w="9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28,2</w:t>
            </w:r>
          </w:p>
        </w:tc>
        <w:tc>
          <w:tcPr>
            <w:tcW w:type="dxa" w:w="9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3194,0</w:t>
            </w:r>
          </w:p>
        </w:tc>
        <w:tc>
          <w:tcPr>
            <w:tcW w:type="dxa" w:w="9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130,5</w:t>
            </w:r>
          </w:p>
        </w:tc>
        <w:tc>
          <w:tcPr>
            <w:tcW w:type="dxa" w:w="1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25</w:t>
            </w:r>
          </w:p>
        </w:tc>
        <w:tc>
          <w:tcPr>
            <w:tcW w:type="dxa" w:w="17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130,5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190,9</w:t>
            </w:r>
          </w:p>
        </w:tc>
        <w:tc>
          <w:tcPr>
            <w:tcW w:type="dxa" w:w="15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72,9 / 72,9</w:t>
            </w:r>
          </w:p>
        </w:tc>
      </w:tr>
      <w:tr>
        <w:trPr>
          <w:tblHeader w:val="off"/>
        </w:trPr>
        <w:tc>
          <w:tcPr>
            <w:tcW w:type="dxa" w:w="9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51,6</w:t>
            </w:r>
          </w:p>
        </w:tc>
        <w:tc>
          <w:tcPr>
            <w:tcW w:type="dxa" w:w="9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3193,6</w:t>
            </w:r>
          </w:p>
        </w:tc>
        <w:tc>
          <w:tcPr>
            <w:tcW w:type="dxa" w:w="9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444,0</w:t>
            </w:r>
          </w:p>
        </w:tc>
        <w:tc>
          <w:tcPr>
            <w:tcW w:type="dxa" w:w="1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55 790</w:t>
            </w:r>
          </w:p>
        </w:tc>
        <w:tc>
          <w:tcPr>
            <w:tcW w:type="dxa" w:w="17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143,5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483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191,1</w:t>
            </w:r>
          </w:p>
        </w:tc>
        <w:tc>
          <w:tcPr>
            <w:tcW w:type="dxa" w:w="15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18,8 / 46,9</w:t>
            </w:r>
          </w:p>
        </w:tc>
      </w:tr>
      <w:tr>
        <w:trPr>
          <w:tblHeader w:val="off"/>
        </w:trPr>
        <w:tc>
          <w:tcPr>
            <w:tcW w:type="dxa" w:w="9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75,0</w:t>
            </w:r>
          </w:p>
        </w:tc>
        <w:tc>
          <w:tcPr>
            <w:tcW w:type="dxa" w:w="9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3193,2</w:t>
            </w:r>
          </w:p>
        </w:tc>
        <w:tc>
          <w:tcPr>
            <w:tcW w:type="dxa" w:w="9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444,4</w:t>
            </w:r>
          </w:p>
        </w:tc>
        <w:tc>
          <w:tcPr>
            <w:tcW w:type="dxa" w:w="1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24 425</w:t>
            </w:r>
          </w:p>
        </w:tc>
        <w:tc>
          <w:tcPr>
            <w:tcW w:type="dxa" w:w="17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46,8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37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204,4</w:t>
            </w:r>
          </w:p>
        </w:tc>
        <w:tc>
          <w:tcPr>
            <w:tcW w:type="dxa" w:w="15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28,0 / 9,0</w:t>
            </w:r>
          </w:p>
        </w:tc>
      </w:tr>
    </w:tbl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dv1 от наклона плоскости не зависит (разброс 0,97 м/с): его назначает интеграл Якоби, а не геометрия старта. То есть перенос старта на Восточный стоимость разгона не меняет.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Величина dv2 при наклоне плоскости - в основном разворот вне эклиптики (при штатном прицеле 72,9 % против 28,0 % при худшем узле). Если плоскость к эклиптике не поворачивать, переприцеленная сумма dv меняется на +30 м/с при наклоне 51,6° и -67 м/с при 75,0° - в разные стороны и в пределах разброса 97 м/с, который протокол сам относит на негладкость множества пересечений (п. 1).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Разница переприцеленных dv2 (112,6 м/с при нулевом наклоне против 130,5 м/с при 28,2°) — в пределах гладкости множества пересечений трассы с целью, т.е. наклон 28,2° бесплатен. Цена плоскости относится к ЦЕЛИ: гало с наклонением, равным наклонению трассы, её снимает — так и отбираются траектории в работе Боровина и др. («наклонение которых соответствует наклонению орбиты выведения»). В проект принят dv2 = 130,5 м/с.</w:t>
      </w:r>
    </w:p>
    <w:p>
      <w:pPr>
        <w:pStyle w:val="Heading1"/>
        <w:spacing w:after="100" w:before="260" w:line="360"/>
      </w:pPr>
      <w:r>
        <w:rPr>
          <w:rFonts w:ascii="Times New Roman" w:cs="Times New Roman" w:eastAsia="Times New Roman" w:hAnsi="Times New Roman"/>
        </w:rPr>
        <w:t xml:space="preserve">6. Возмущения и внемодельные ограничения</w:t>
      </w:r>
    </w:p>
    <w:p>
      <w:pPr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 же трасса пересчитана в расширенной модели сил (l2_perturb.py). Разгонный импульс при этом не меняется: dv1 = 3194,0 м/с; все эффекты стоят во втором импульсе и в плане коррекций.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0"/>
        <w:gridCol w:w="1600"/>
        <w:gridCol w:w="4055"/>
      </w:tblGrid>
      <w:tr>
        <w:trPr>
          <w:tblHeader/>
        </w:trPr>
        <w:tc>
          <w:tcPr>
            <w:tcW w:type="dxa" w:w="37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Эффект</w:t>
            </w:r>
          </w:p>
        </w:tc>
        <w:tc>
          <w:tcPr>
            <w:tcW w:type="dxa" w:w="16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Влияние на dv1</w:t>
            </w:r>
          </w:p>
        </w:tc>
        <w:tc>
          <w:tcPr>
            <w:tcW w:type="dxa" w:w="4055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Влияние на dv2 / бюджет</w:t>
            </w:r>
          </w:p>
        </w:tc>
      </w:tr>
      <w:tr>
        <w:trPr>
          <w:tblHeader w:val="off"/>
        </w:trPr>
        <w:tc>
          <w:tcPr>
            <w:tcW w:type="dxa" w:w="3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Наклон плоскости выведения (28,2°…75°, п. 5)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</w:t>
            </w:r>
          </w:p>
        </w:tc>
        <w:tc>
          <w:tcPr>
            <w:tcW w:type="dxa" w:w="40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+30…-67 м/с; минус - значит дешевле эклиптической</w:t>
            </w:r>
          </w:p>
        </w:tc>
      </w:tr>
      <w:tr>
        <w:trPr>
          <w:tblHeader w:val="off"/>
        </w:trPr>
        <w:tc>
          <w:tcPr>
            <w:tcW w:type="dxa" w:w="3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Давление Солнца (A = 20…100 м², C_R = 1,0…1,8)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</w:t>
            </w:r>
          </w:p>
        </w:tc>
        <w:tc>
          <w:tcPr>
            <w:tcW w:type="dxa" w:w="40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≤ 2,9 м/с при прежнем прицеле; после переприцеливания -0,4 / -2,3 м/с</w:t>
            </w:r>
          </w:p>
        </w:tc>
      </w:tr>
      <w:tr>
        <w:trPr>
          <w:tblHeader w:val="off"/>
        </w:trPr>
        <w:tc>
          <w:tcPr>
            <w:tcW w:type="dxa" w:w="3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Тень Земли на трассе (полная и полутень)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</w:t>
            </w:r>
          </w:p>
        </w:tc>
        <w:tc>
          <w:tcPr>
            <w:tcW w:type="dxa" w:w="40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≤ 39,2 мм/с — верхняя оценка для суток непрерывной тени; в модель не вводится</w:t>
            </w:r>
          </w:p>
        </w:tc>
      </w:tr>
      <w:tr>
        <w:trPr>
          <w:tblHeader w:val="off"/>
        </w:trPr>
        <w:tc>
          <w:tcPr>
            <w:tcW w:type="dxa" w:w="3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Луна (по заданию — круговая орбита в эклиптике)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</w:t>
            </w:r>
          </w:p>
        </w:tc>
        <w:tc>
          <w:tcPr>
            <w:tcW w:type="dxa" w:w="40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dv2 = 167…435 м/с при прежнем прицеле; +252…+435 м/с после переприцеливания</w:t>
            </w:r>
          </w:p>
        </w:tc>
      </w:tr>
      <w:tr>
        <w:trPr>
          <w:tblHeader w:val="off"/>
        </w:trPr>
        <w:tc>
          <w:tcPr>
            <w:tcW w:type="dxa" w:w="3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Форма и прецессии лунной орбиты — по заданию НЕ учитываются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</w:t>
            </w:r>
          </w:p>
        </w:tc>
        <w:tc>
          <w:tcPr>
            <w:tcW w:type="dxa" w:w="40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измерено −9…+107 м/с в dv2; в бюджет не входят</w:t>
            </w:r>
          </w:p>
        </w:tc>
      </w:tr>
      <w:tr>
        <w:trPr>
          <w:tblHeader w:val="off"/>
        </w:trPr>
        <w:tc>
          <w:tcPr>
            <w:tcW w:type="dxa" w:w="3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Эксцентриситет орбиты Земли (e = 0,0167)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 оценивается</w:t>
            </w:r>
          </w:p>
        </w:tc>
        <w:tc>
          <w:tcPr>
            <w:tcW w:type="dxa" w:w="40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разброс dv1 до 1683 м/с - артефакт кадра, в бюджет не входит; dv2 2057,2…10678,1 м/с - артефакт цели</w:t>
            </w:r>
          </w:p>
        </w:tc>
      </w:tr>
      <w:tr>
        <w:trPr>
          <w:tblHeader w:val="off"/>
        </w:trPr>
        <w:tc>
          <w:tcPr>
            <w:tcW w:type="dxa" w:w="3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Гравманёвр у Луны (поиск: 12 фаз × 11 углов)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</w:t>
            </w:r>
          </w:p>
        </w:tc>
        <w:tc>
          <w:tcPr>
            <w:tcW w:type="dxa" w:w="40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систематического выигрыша нет: лучший из 6 ходов +180,4 м/с, после локального переприцеливания +179,5 м/с (другая точка входа, а не гравманёвр)</w:t>
            </w:r>
          </w:p>
        </w:tc>
      </w:tr>
      <w:tr>
        <w:trPr>
          <w:tblHeader w:val="off"/>
        </w:trPr>
        <w:tc>
          <w:tcPr>
            <w:tcW w:type="dxa" w:w="3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J2 и стартовая площадка (ориентация плоскости)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0…5122 м/с</w:t>
            </w:r>
          </w:p>
        </w:tc>
        <w:tc>
          <w:tcPr>
            <w:tcW w:type="dxa" w:w="40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окно нужной ориентации повторяется каждые 55,0 сут (7 раз в год)</w:t>
            </w:r>
          </w:p>
        </w:tc>
      </w:tr>
      <w:tr>
        <w:trPr>
          <w:tblHeader w:val="off"/>
        </w:trPr>
        <w:tc>
          <w:tcPr>
            <w:tcW w:type="dxa" w:w="3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Удержание на гало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—</w:t>
            </w:r>
          </w:p>
        </w:tc>
        <w:tc>
          <w:tcPr>
            <w:tcW w:type="dxa" w:w="40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0,77 м/с/год при допуске ±100 км — в 130 раз ниже лимита 100 м/с/год</w:t>
            </w:r>
          </w:p>
        </w:tc>
      </w:tr>
    </w:tbl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Эксцентриситет Земли. В кадре, вращающемся со средней движением, линия Солнце—Земля (вместе с L2) описывает эпицикл амплитудой 2e = 1,91°, т.е. ~5,0 млн км; поэтому фиксированная CR3BP-орбита в эллиптической модели недостижима, а большие значения dv2 (2057,2…10678,1 м/с) измеряют несоответствие цели, а не стоимость. Собственно цена эксцентриситета в dv1 не измерима: фазовый разброс dv1 до 1683 м/с — это рассогласование кадра (он вращается средней движением, а цель взята из круговой задачи), а не стоимость. Корректный расчёт требует квазипериодических орбит эллиптической задачи (ER3BP), размер которых меняется вместе с расстоянием Солнце—Земля (±1,7 %).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Луна. По заданию форма лунной орбиты (e = 0,055, наклонение 5,1°) и её прецессии (узел за 18,6 лет, апсиды за 8,85 лет) не учитываются, поэтому в модели Луна движется по круговой орбите в эклиптике. Это не «уменьшает точность без предупреждения»: величина исключённого измерена — от −9 до +107 м/с в dv2 (perturb.txt, п. 4a, 4b), т.е. сопоставима с самим эффектом Луны. Исключение этих членов — требование задания, а не вывод расчёта.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J2 и площадка. Дрейф узла НОО из-за J2 при i = 51,6° равен −5,56 °/сут, направление Земля→L2 уходит на 0,99 °/сут — нужная ориентация плоскости повторяется каждые 55,0 сут (7 окон в году). Если вместо минимального наклона к эклиптике (28,2°) старт даёт 51,6° или 75,0°, перелёт дорожает на +30…-67 м/с (п. 5); рассогласование направления разгона с касательной к НОО стоит dv1 = 3194 … 3294 … 3578 … 4004 … 4530 … 5122 м/с при 0 / 5 / 10 / 15 / 20 / 25°. Наклонение, меньшее наклонения эклиптики (23,4°), с Восточного невозможно — трасса и строится в наклонённой плоскости.</w:t>
      </w:r>
    </w:p>
    <w:p>
      <w:pPr>
        <w:pStyle w:val="Heading1"/>
        <w:spacing w:after="100" w:before="260" w:line="360"/>
      </w:pPr>
      <w:r>
        <w:rPr>
          <w:rFonts w:ascii="Times New Roman" w:cs="Times New Roman" w:eastAsia="Times New Roman" w:hAnsi="Times New Roman"/>
        </w:rPr>
        <w:t xml:space="preserve">7. Масса: разгонный блок и двигатель удержания</w:t>
      </w:r>
    </w:p>
    <w:p>
      <w:pPr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 заданию перелёт делает разгонный блок (оба импульса), а поддержание орбиты — сам КА двигателем СПД-100ВМ, поэтому характеристическая скорость делится на две части с разными удельными импульсами: dv_РБ = dv1 + dv2 = 3324 м/с (расчёт) и 3491 м/с (с запасом 5 %), и dv удержания — по годовой норме задания (≤ 100 м/с/год).</w:t>
      </w:r>
    </w:p>
    <w:p>
      <w:pPr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Разгонный блок: m_топл = (m_КА + m_сух_РБ)·(exp(dv/(Isp·g₀)) − 1), где m_КА = 1800 кг (сухая масса по заданию) + 5,7 кг ксенона = 1 806 кг. ТТД разгонного блока КВТК (Isp и сухая масса) в доступных источниках не найдены, поэтому приняты Isp = 445 с (криогенная водородная ступень) и m_сух_РБ = 1300 кг; ниже дана чувствительность к ±10 с.</w:t>
      </w:r>
    </w:p>
    <w:p>
      <w:pPr>
        <w:spacing w:after="60" w:before="60" w:line="36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Таблица 3 — топливо разгонного блока и масса, вводимая на НОО 200 км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400"/>
        <w:gridCol w:w="1900"/>
        <w:gridCol w:w="2100"/>
        <w:gridCol w:w="2455"/>
      </w:tblGrid>
      <w:tr>
        <w:trPr>
          <w:tblHeader/>
        </w:trPr>
        <w:tc>
          <w:tcPr>
            <w:tcW w:type="dxa" w:w="15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Isp РБ, с</w:t>
            </w:r>
          </w:p>
        </w:tc>
        <w:tc>
          <w:tcPr>
            <w:tcW w:type="dxa" w:w="14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dv, м/с</w:t>
            </w:r>
          </w:p>
        </w:tc>
        <w:tc>
          <w:tcPr>
            <w:tcW w:type="dxa" w:w="19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случай</w:t>
            </w:r>
          </w:p>
        </w:tc>
        <w:tc>
          <w:tcPr>
            <w:tcW w:type="dxa" w:w="21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топливо РБ, кг</w:t>
            </w:r>
          </w:p>
        </w:tc>
        <w:tc>
          <w:tcPr>
            <w:tcW w:type="dxa" w:w="2455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ввести на НОО, кг</w:t>
            </w:r>
          </w:p>
        </w:tc>
      </w:tr>
      <w:tr>
        <w:trPr>
          <w:tblHeader w:val="off"/>
        </w:trPr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435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3 324</w:t>
            </w:r>
          </w:p>
        </w:tc>
        <w:tc>
          <w:tcPr>
            <w:tcW w:type="dxa" w:w="19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расчётный dv</w:t>
            </w:r>
          </w:p>
        </w:tc>
        <w:tc>
          <w:tcPr>
            <w:tcW w:type="dxa" w:w="2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3 665</w:t>
            </w:r>
          </w:p>
        </w:tc>
        <w:tc>
          <w:tcPr>
            <w:tcW w:type="dxa" w:w="24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6 770</w:t>
            </w:r>
          </w:p>
        </w:tc>
      </w:tr>
      <w:tr>
        <w:trPr>
          <w:tblHeader w:val="off"/>
        </w:trPr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435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3 491</w:t>
            </w:r>
          </w:p>
        </w:tc>
        <w:tc>
          <w:tcPr>
            <w:tcW w:type="dxa" w:w="19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 запасом 5 %</w:t>
            </w:r>
          </w:p>
        </w:tc>
        <w:tc>
          <w:tcPr>
            <w:tcW w:type="dxa" w:w="2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3 934</w:t>
            </w:r>
          </w:p>
        </w:tc>
        <w:tc>
          <w:tcPr>
            <w:tcW w:type="dxa" w:w="24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7 039</w:t>
            </w:r>
          </w:p>
        </w:tc>
      </w:tr>
      <w:tr>
        <w:trPr>
          <w:tblHeader w:val="off"/>
        </w:trPr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445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3 324</w:t>
            </w:r>
          </w:p>
        </w:tc>
        <w:tc>
          <w:tcPr>
            <w:tcW w:type="dxa" w:w="19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расчётный dv</w:t>
            </w:r>
          </w:p>
        </w:tc>
        <w:tc>
          <w:tcPr>
            <w:tcW w:type="dxa" w:w="2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3 547</w:t>
            </w:r>
          </w:p>
        </w:tc>
        <w:tc>
          <w:tcPr>
            <w:tcW w:type="dxa" w:w="24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6 653</w:t>
            </w:r>
          </w:p>
        </w:tc>
      </w:tr>
      <w:tr>
        <w:trPr>
          <w:tblHeader w:val="off"/>
        </w:trPr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445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3 491</w:t>
            </w:r>
          </w:p>
        </w:tc>
        <w:tc>
          <w:tcPr>
            <w:tcW w:type="dxa" w:w="19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 запасом 5 %</w:t>
            </w:r>
          </w:p>
        </w:tc>
        <w:tc>
          <w:tcPr>
            <w:tcW w:type="dxa" w:w="2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3 805</w:t>
            </w:r>
          </w:p>
        </w:tc>
        <w:tc>
          <w:tcPr>
            <w:tcW w:type="dxa" w:w="24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6 911</w:t>
            </w:r>
          </w:p>
        </w:tc>
      </w:tr>
      <w:tr>
        <w:trPr>
          <w:tblHeader w:val="off"/>
        </w:trPr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455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3 324</w:t>
            </w:r>
          </w:p>
        </w:tc>
        <w:tc>
          <w:tcPr>
            <w:tcW w:type="dxa" w:w="19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расчётный dv</w:t>
            </w:r>
          </w:p>
        </w:tc>
        <w:tc>
          <w:tcPr>
            <w:tcW w:type="dxa" w:w="2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3 437</w:t>
            </w:r>
          </w:p>
        </w:tc>
        <w:tc>
          <w:tcPr>
            <w:tcW w:type="dxa" w:w="24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6 542</w:t>
            </w:r>
          </w:p>
        </w:tc>
      </w:tr>
      <w:tr>
        <w:trPr>
          <w:tblHeader w:val="off"/>
        </w:trPr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455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3 491</w:t>
            </w:r>
          </w:p>
        </w:tc>
        <w:tc>
          <w:tcPr>
            <w:tcW w:type="dxa" w:w="19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 запасом 5 %</w:t>
            </w:r>
          </w:p>
        </w:tc>
        <w:tc>
          <w:tcPr>
            <w:tcW w:type="dxa" w:w="2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3 685</w:t>
            </w:r>
          </w:p>
        </w:tc>
        <w:tc>
          <w:tcPr>
            <w:tcW w:type="dxa" w:w="24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6 791</w:t>
            </w:r>
          </w:p>
        </w:tc>
      </w:tr>
    </w:tbl>
    <w:p>
      <w:pPr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Итого требование к носителю: 6 653 кг на НОО 200 км, наклонение 51,6°, старт с Восточного при расчётном dv и 6 911 кг с пятипроцентным запасом. Это требование, а не проверка совместимости: без подтверждённых ТТД КВТК и грузоподъёмности носителя вывод о выполнимости сделать нельзя (п. 9).</w:t>
      </w:r>
    </w:p>
    <w:p>
      <w:pPr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Удержание. Из собственного числа неустойчивости модели (λ = 2,4844, e-folding 23,4 сут) ошибка 1 км по неустойчивому направлению стоит 0,495 мм/с; по одной коррекции на e-fold это 15,6 шт/год.</w:t>
      </w:r>
    </w:p>
    <w:p>
      <w:pPr>
        <w:spacing w:after="60" w:before="60" w:line="36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Таблица 4 — бюджет удержания на СПД-100ВМ (тяга 90 мН, Isp 1600 с, ресурс &gt;15000 ч, &gt;13000 включений)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50"/>
        <w:gridCol w:w="1350"/>
        <w:gridCol w:w="1000"/>
        <w:gridCol w:w="1300"/>
        <w:gridCol w:w="1400"/>
        <w:gridCol w:w="1200"/>
        <w:gridCol w:w="1755"/>
      </w:tblGrid>
      <w:tr>
        <w:trPr>
          <w:tblHeader/>
        </w:trPr>
        <w:tc>
          <w:tcPr>
            <w:tcW w:type="dxa" w:w="135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допуск по месту</w:t>
            </w:r>
          </w:p>
        </w:tc>
        <w:tc>
          <w:tcPr>
            <w:tcW w:type="dxa" w:w="135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м/с на коррекцию</w:t>
            </w:r>
          </w:p>
        </w:tc>
        <w:tc>
          <w:tcPr>
            <w:tcW w:type="dxa" w:w="10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м/с за год</w:t>
            </w:r>
          </w:p>
        </w:tc>
        <w:tc>
          <w:tcPr>
            <w:tcW w:type="dxa" w:w="13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ксенон, кг/год</w:t>
            </w:r>
          </w:p>
        </w:tc>
        <w:tc>
          <w:tcPr>
            <w:tcW w:type="dxa" w:w="14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часов работы в год</w:t>
            </w:r>
          </w:p>
        </w:tc>
        <w:tc>
          <w:tcPr>
            <w:tcW w:type="dxa" w:w="12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доля ресурса</w:t>
            </w:r>
          </w:p>
        </w:tc>
        <w:tc>
          <w:tcPr>
            <w:tcW w:type="dxa" w:w="1755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долей лимита 100 м/с/год</w:t>
            </w:r>
          </w:p>
        </w:tc>
      </w:tr>
      <w:tr>
        <w:trPr>
          <w:tblHeader w:val="off"/>
        </w:trPr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± 100 км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0,05</w:t>
            </w:r>
          </w:p>
        </w:tc>
        <w:tc>
          <w:tcPr>
            <w:tcW w:type="dxa" w:w="1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0,77</w:t>
            </w:r>
          </w:p>
        </w:tc>
        <w:tc>
          <w:tcPr>
            <w:tcW w:type="dxa" w:w="1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0,09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</w:t>
            </w:r>
          </w:p>
        </w:tc>
        <w:tc>
          <w:tcPr>
            <w:tcW w:type="dxa" w:w="1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0,03 %</w:t>
            </w:r>
          </w:p>
        </w:tc>
        <w:tc>
          <w:tcPr>
            <w:tcW w:type="dxa" w:w="17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130</w:t>
            </w:r>
          </w:p>
        </w:tc>
      </w:tr>
      <w:tr>
        <w:trPr>
          <w:tblHeader w:val="off"/>
        </w:trPr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± 1 000 км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0,49</w:t>
            </w:r>
          </w:p>
        </w:tc>
        <w:tc>
          <w:tcPr>
            <w:tcW w:type="dxa" w:w="1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7,72</w:t>
            </w:r>
          </w:p>
        </w:tc>
        <w:tc>
          <w:tcPr>
            <w:tcW w:type="dxa" w:w="1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0,89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43</w:t>
            </w:r>
          </w:p>
        </w:tc>
        <w:tc>
          <w:tcPr>
            <w:tcW w:type="dxa" w:w="1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0,29 %</w:t>
            </w:r>
          </w:p>
        </w:tc>
        <w:tc>
          <w:tcPr>
            <w:tcW w:type="dxa" w:w="17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13</w:t>
            </w:r>
          </w:p>
        </w:tc>
      </w:tr>
      <w:tr>
        <w:trPr>
          <w:tblHeader w:val="off"/>
        </w:trPr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± 10 000 км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4,95</w:t>
            </w:r>
          </w:p>
        </w:tc>
        <w:tc>
          <w:tcPr>
            <w:tcW w:type="dxa" w:w="1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77,21</w:t>
            </w:r>
          </w:p>
        </w:tc>
        <w:tc>
          <w:tcPr>
            <w:tcW w:type="dxa" w:w="1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8,84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429</w:t>
            </w:r>
          </w:p>
        </w:tc>
        <w:tc>
          <w:tcPr>
            <w:tcW w:type="dxa" w:w="1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2,86 %</w:t>
            </w:r>
          </w:p>
        </w:tc>
        <w:tc>
          <w:tcPr>
            <w:tcW w:type="dxa" w:w="17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</w:t>
            </w:r>
          </w:p>
        </w:tc>
      </w:tr>
    </w:tbl>
    <w:p>
      <w:pPr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Требуемое удержание (0,77 м/с/год при ±100 км) в 130 раз меньше лимита задания, и даже сам лимит (100 м/с/год = 556 ч работы и 11,4 кг ксенона в год) умещается в ресурс одного двигателя: 19 % за 5 лет и в 167 раз в лимит включений. Запас на ошибки исполнения РД и навигации при этом остаётся: ×10 к динамическому требованию — это 7,72 м/с/год, т.е. всё ещё в 13 раз меньше лимита.</w:t>
      </w:r>
    </w:p>
    <w:p>
      <w:pPr>
        <w:pStyle w:val="Heading1"/>
        <w:spacing w:after="100" w:before="260" w:line="360"/>
      </w:pPr>
      <w:r>
        <w:rPr>
          <w:rFonts w:ascii="Times New Roman" w:cs="Times New Roman" w:eastAsia="Times New Roman" w:hAnsi="Times New Roman"/>
        </w:rPr>
        <w:t xml:space="preserve">8. Ответ</w:t>
      </w:r>
    </w:p>
    <w:p>
      <w:pPr>
        <w:spacing w:after="60" w:before="0" w:line="360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dv1 = 3194,0 м/с (разгонный импульс с НОО, делает РБ КВТК); dv2 = 130,5 м/с (тормозной импульс, выход на гало-орбиту); суммарно dv = 3324 м/с; время активного перелёта 190,9 сут. Тип орбиты в окрестности L2 — пространственная гало-орбита с амплитудой по z 120 177 км и по x 257 860 км (период 180,3 сут), выбранная по минимуму суммарного dv среди орбит семейства, не заходящих в тень Земли и достижимых с тормозным вторым импульсом. Удержание: 0,77 м/с в год при допуске ±100 км — в 130 раз ниже заданного лимита 100 м/с/год (ксенон 0,09 кг/год, 4,3 ч работы/год).</w:t>
      </w:r>
    </w:p>
    <w:p>
      <w:pPr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 учётом возмущений (п. 6) бюджет миссии следует принимать 3,49…3,76 км/с: расчётные 3324 м/с, плюс Луна +435 м/с, давление Солнца +2,9 м/с - наихудшая из посчитанных комбинаций, без запаса на точность исполнения коррекций. Эксцентриситет Земли в сумму не входит: его «цена» в этой модели - артефакт кадра (п. 6).</w:t>
      </w:r>
    </w:p>
    <w:p>
      <w:pPr>
        <w:spacing w:after="60" w:before="60" w:line="36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Таблица 5 — сводка по массам (сухая масса КА 1800 кг по заданию)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4155"/>
      </w:tblGrid>
      <w:tr>
        <w:trPr>
          <w:tblHeader/>
        </w:trPr>
        <w:tc>
          <w:tcPr>
            <w:tcW w:type="dxa" w:w="52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Величина</w:t>
            </w:r>
          </w:p>
        </w:tc>
        <w:tc>
          <w:tcPr>
            <w:tcW w:type="dxa" w:w="4155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Значение</w:t>
            </w:r>
          </w:p>
        </w:tc>
      </w:tr>
      <w:tr>
        <w:trPr>
          <w:tblHeader w:val="off"/>
        </w:trPr>
        <w:tc>
          <w:tcPr>
            <w:tcW w:type="dxa" w:w="5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Сухая масса КА</w:t>
            </w:r>
          </w:p>
        </w:tc>
        <w:tc>
          <w:tcPr>
            <w:tcW w:type="dxa" w:w="41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1800 кг</w:t>
            </w:r>
          </w:p>
        </w:tc>
      </w:tr>
      <w:tr>
        <w:trPr>
          <w:tblHeader w:val="off"/>
        </w:trPr>
        <w:tc>
          <w:tcPr>
            <w:tcW w:type="dxa" w:w="5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Ксенон на удержание (5 лет при ~10 м/с/год)</w:t>
            </w:r>
          </w:p>
        </w:tc>
        <w:tc>
          <w:tcPr>
            <w:tcW w:type="dxa" w:w="41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5,7 кг</w:t>
            </w:r>
          </w:p>
        </w:tc>
      </w:tr>
      <w:tr>
        <w:trPr>
          <w:tblHeader w:val="off"/>
        </w:trPr>
        <w:tc>
          <w:tcPr>
            <w:tcW w:type="dxa" w:w="5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Масса КА на момент включения dv1</w:t>
            </w:r>
          </w:p>
        </w:tc>
        <w:tc>
          <w:tcPr>
            <w:tcW w:type="dxa" w:w="41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1 806 кг</w:t>
            </w:r>
          </w:p>
        </w:tc>
      </w:tr>
      <w:tr>
        <w:trPr>
          <w:tblHeader w:val="off"/>
        </w:trPr>
        <w:tc>
          <w:tcPr>
            <w:tcW w:type="dxa" w:w="5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Топливо разгонного блока (dv = 3324 м/с, Isp = 445 с)</w:t>
            </w:r>
          </w:p>
        </w:tc>
        <w:tc>
          <w:tcPr>
            <w:tcW w:type="dxa" w:w="41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3 547 кг</w:t>
            </w:r>
          </w:p>
        </w:tc>
      </w:tr>
      <w:tr>
        <w:trPr>
          <w:tblHeader w:val="off"/>
        </w:trPr>
        <w:tc>
          <w:tcPr>
            <w:tcW w:type="dxa" w:w="5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Сухая масса РБ (принято)</w:t>
            </w:r>
          </w:p>
        </w:tc>
        <w:tc>
          <w:tcPr>
            <w:tcW w:type="dxa" w:w="41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1300 кг</w:t>
            </w:r>
          </w:p>
        </w:tc>
      </w:tr>
      <w:tr>
        <w:trPr>
          <w:tblHeader w:val="off"/>
        </w:trPr>
        <w:tc>
          <w:tcPr>
            <w:tcW w:type="dxa" w:w="5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Масса, вводимая РН на НОО 200 км</w:t>
            </w:r>
          </w:p>
        </w:tc>
        <w:tc>
          <w:tcPr>
            <w:tcW w:type="dxa" w:w="41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6 653 кг (с запасом 5 % — 6 911)</w:t>
            </w:r>
          </w:p>
        </w:tc>
      </w:tr>
    </w:tbl>
    <w:p>
      <w:pPr>
        <w:pStyle w:val="Heading1"/>
        <w:spacing w:after="100" w:before="260" w:line="360"/>
      </w:pPr>
      <w:r>
        <w:rPr>
          <w:rFonts w:ascii="Times New Roman" w:cs="Times New Roman" w:eastAsia="Times New Roman" w:hAnsi="Times New Roman"/>
        </w:rPr>
        <w:t xml:space="preserve">9. Ограничения расчёта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Плоскость выведения считается повёрнутой к эклиптике на минимальный для данного наклонения угол i − ε = 28,2°; выбор азимута и момента старта полагается доступным, окно повторяется каждые 55,0 сут (п. 6). Место включения первого импульса при этом смещено из эклиптики на r_p·sin(28,2°) ≈ 3 105 км (0,2 % масштаба трассы) — этим пренебрежено.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Наклонное семейство гало-орбит (подбор наклонения цели под плоскость трассы, как в работе Боровина и др.) не рассчитан: п. 5 даёт верхнюю оценку цены плоскости для цели из эклиптической семьи.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Перелёт и целевая орбита заданы в круговой CR3BP; Луна (круговая, в эклиптике — по заданию), давление Солнца и эксцентриситет Земли рассматриваются как уточнение трассы, а не как перестройка семейства орбит.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Разгонный блок считается работоспособным весь активный участок (190,9 сут): кипение криогенного топлива, ресурс насосов и ориентация на импульс не моделировались; время перелёта в целевую функцию не входит (минимизируется только dv), поэтому трасса в 190,9 сут — следствие прицела, а не оптимума по времени.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Требование «второй импульс тормозной» — активное ограничение задачи, а не описание: без него минимум dv на этой же цели был бы на 12,8 м/с дешевле, но второй импульс получался разгонным (трасса прибывала медленнее целевой орбиты). Оно наложено конструктивно (dC &gt;= 0), и цель выбрана там, где тормозной вход существует.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Удержание в CR3BP не зависит от амплитуды гало (λ — свойство точки L2), поэтому «по возможности минимальные» выполнено допуском по месту и выбором орбиты без затмений, а не оптимизацией по амплитуде; запас на ошибки исполнения РД и навигации в бюджет не включён.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ТТД разгонного блока КВТК и точная широта площадки Восточный по открытым источникам не подтверждены: Isp = 445 с и m_сух_РБ = 1300 кг — допущение, данное с чувствительностью (табл. 3); грузоподъёмность носителя не проверялась.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Не моделируются: коррекции середины трассы и реальная схема удержания (бюджет дан через e-folding), переориентация КА (C_R постоянен), J2 в уравнения движения, эволюция орбиты на сроки много длиннее периода (180,3 сут).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Атмосферное торможение на НОО 200 км, срок активного существования и энергоресурс СПД-100ВМ (1350 Вт нужны для тяги 90 мН) в задании не оговорены и в расчёт не вводились.</w:t>
      </w:r>
    </w:p>
    <w:p>
      <w:pPr>
        <w:pStyle w:val="Heading1"/>
        <w:spacing w:after="100" w:before="260" w:line="360"/>
      </w:pPr>
      <w:r>
        <w:rPr>
          <w:rFonts w:ascii="Times New Roman" w:cs="Times New Roman" w:eastAsia="Times New Roman" w:hAnsi="Times New Roman"/>
        </w:rPr>
        <w:t xml:space="preserve">10. Состав расчётных файлов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55"/>
      </w:tblGrid>
      <w:tr>
        <w:trPr>
          <w:tblHeader/>
        </w:trPr>
        <w:tc>
          <w:tcPr>
            <w:tcW w:type="dxa" w:w="22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Файл</w:t>
            </w:r>
          </w:p>
        </w:tc>
        <w:tc>
          <w:tcPr>
            <w:tcW w:type="dxa" w:w="7155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Содержание</w:t>
            </w:r>
          </w:p>
        </w:tc>
      </w:tr>
      <w:tr>
        <w:trPr>
          <w:tblHeader w:val="off"/>
        </w:trPr>
        <w:tc>
          <w:tcPr>
            <w:tcW w:type="dxa" w:w="2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l2_transfer.py</w:t>
            </w:r>
          </w:p>
        </w:tc>
        <w:tc>
          <w:tcPr>
            <w:tcW w:type="dxa" w:w="71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модель CR3BP: L2, линеаризация, семейство гало с расчётом тени, прицеливание, массы РБ и СПД; вывод → result.txt (~15 мин); --check — проверка ядра модели (~2 с)</w:t>
            </w:r>
          </w:p>
        </w:tc>
      </w:tr>
      <w:tr>
        <w:trPr>
          <w:tblHeader w:val="off"/>
        </w:trPr>
        <w:tc>
          <w:tcPr>
            <w:tcW w:type="dxa" w:w="2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l2_perturb.py</w:t>
            </w:r>
          </w:p>
        </w:tc>
        <w:tc>
          <w:tcPr>
            <w:tcW w:type="dxa" w:w="71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та же трасса в расширенной модели: наклон плоскости выведения, SRP и тень, Луна (по заданию — круговая в эклиптике) с измерением исключённых членов, эллиптическая орбита Земли, J2 и площадка, удержание и ресурс СПД-100ВМ; вывод → perturb.txt (~13 мин)</w:t>
            </w:r>
          </w:p>
        </w:tc>
      </w:tr>
      <w:tr>
        <w:trPr>
          <w:tblHeader w:val="off"/>
        </w:trPr>
        <w:tc>
          <w:tcPr>
            <w:tcW w:type="dxa" w:w="2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plot_traj.py</w:t>
            </w:r>
          </w:p>
        </w:tc>
        <w:tc>
          <w:tcPr>
            <w:tcW w:type="dxa" w:w="71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трасса и целевая орбита: то же интегрирование модели, числа из result.txt; вывод -&gt; traj.png (геометрия, рис. 1) и traj_data.png (ξ(t), |v|(t), тени, числа, рис. 2)</w:t>
            </w:r>
          </w:p>
        </w:tc>
      </w:tr>
      <w:tr>
        <w:trPr>
          <w:tblHeader w:val="off"/>
        </w:trPr>
        <w:tc>
          <w:tcPr>
            <w:tcW w:type="dxa" w:w="2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result.txt, perturb.txt</w:t>
            </w:r>
          </w:p>
        </w:tc>
        <w:tc>
          <w:tcPr>
            <w:tcW w:type="dxa" w:w="71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протоколы расчётов - источники всех чисел отчёта (make_docx.js их парсит, документ не может разойтись с расчётом)</w:t>
            </w:r>
          </w:p>
        </w:tc>
      </w:tr>
    </w:tbl>
    <w:p>
      <w:pPr>
        <w:spacing w:after="60" w:before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Источники: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Боровин Г.К., Ильин И.С., Заславский Г.С., Лавренов С.М., Сазонов В.В., Степаньянц В.А., Тучин А.Г., Тучин Д.А., Ярошевский В.С. «Математическое моделирование движения космического аппарата в окрестности точки L2 системы Солнце—Земля» (ИПМ им. М.В. Келдыша РАН, НИУ ВШЭ) — импульс перелёта КА «Спектр-РГ» 3,195 км/с при i = 51,611°, правило подбора наклонения траектории, стратегия удержания (коррекции удержания раз в 8 недель, геометрии орбиты раз в 3–6 месяцев у ACE). ОКБ «Факел», «Ракетные двигатели АО ОКБ „Факел“» (Космическая техника и технологии, 2023, № 4(43)), табл. 3 — СПД-100ВМ: тяга 90 мН, Isp 15 696 м/с (1600 с), 1350 Вт, ресурс &gt;15 000 ч, &gt;13 000 включений, &gt;4,5 МН·с.</w:t>
      </w:r>
    </w:p>
    <w:sectPr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>
      <w:pPr>
        <w:spacing w:line="36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60"/>
    </w:pPr>
    <w:rPr>
      <w:rFonts w:ascii="Times New Roman" w:cs="Times New Roman" w:eastAsia="Times New Roman" w:hAnsi="Times New Roman"/>
      <w:b/>
      <w:bCs/>
      <w:color w:val="000000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Times New Roman" w:cs="Times New Roman" w:eastAsia="Times New Roman" w:hAnsi="Times New Roman"/>
      <w:b/>
      <w:bCs/>
      <w:i/>
      <w:iCs/>
      <w:color w:val="000000"/>
      <w:sz w:val="28"/>
      <w:szCs w:val="28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4322974ae77425bc3e39c8cef92d3e2663132755.png"/><Relationship Id="rId8" Type="http://schemas.openxmlformats.org/officeDocument/2006/relationships/image" Target="media/be887bf651cc7992cfc57d69a76f52df72a13a1b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2026-10-27T22:14:59.525Z</dcterms:created>
  <dcterms:modified xsi:type="dcterms:W3CDTF">2026-10-27T22:14:59.525Z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