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затрат характеристической скорости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перелёт с НОО на орбиту в окрестности точки L2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системы Солнце—Земля (первое приближение: ограниченная задача трёх тел)</w:t>
      </w:r>
    </w:p>
    <w:p>
      <w:pPr>
        <w:keepLines/>
        <w:widowControl/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CR3BP, два импульса (разгонный + тормозной) на разгонном блоке; удержание орбиты — СПД-100ВМ.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Расчёт: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l2_transfer.py, l2_perturb.py (Python 3, numpy/scipy). 27 октября 2026 г.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Ключевые числа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400"/>
        <w:gridCol w:w="2250"/>
        <w:gridCol w:w="2455"/>
      </w:tblGrid>
      <w:tr>
        <w:trPr>
          <w:tblHeader/>
        </w:trPr>
        <w:tc>
          <w:tcPr>
            <w:tcW w:type="dxa" w:w="22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2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22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dv₁ (разгонный с НОО)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перелёта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dv₂ (тормозной)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Промах прицела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 км (порог 500 км)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Суммарно dv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гало, Az = 120 177 км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(±100 км)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Ограничение задания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м/с/год, запас ×130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РБ / ввод на НОО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/ 6 653 кг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миссии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3,49…3,76 км/с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Подробности: перелёт и массы - п. 4 и 7, возмущения, тень и лимит удержания - п. 5 и 6, ограничения расчёта и то, что в нём не моделировалось, - п. 9.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1. Постановка задачи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требуется рассчитать затраты характеристической скорости на перелёт с низкой околоземной орбиты на орбиту в окрестности точки L2 системы Солнце—Земля. Решение — в первом приближении, на основе решения задачи трёх тел; перелёт выполняется двумя импульсами: разгонным и тормозным; тип орбиты в окрестности точки Лагранжа выбирается самостоятельно. Перелёт делает разгонный блок, поддержание орбиты — космический аппарат двигателем СПД-100ВМ, и затраты на него не должны превышать 100 м/с в год (по возможности минимальные). Влияние формы лунной орбиты и её прецессии по заданию не учитывается.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55"/>
      </w:tblGrid>
      <w:tr>
        <w:trPr>
          <w:tblHeader/>
        </w:trPr>
        <w:tc>
          <w:tcPr>
            <w:tcW w:type="dxa" w:w="3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6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Космодром / разгонный блок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Восточный / КВТК (выполняет оба импульса перелёта)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Двигатель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СПД-100ВМ (тяга 90 мН, Isp 1600 с, ресурс &gt;15 000 ч)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 км (r = 6 571 км)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Наклонение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51,6° (прямой старт с Восточного)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 в год, по возможности минимальный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учитывается (по заданию)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лунной орбиты (e, наклонение) и её прецессии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выбирается расчётом: семейство гало-орбит у L2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2. Модель и методика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Использована круговая ограниченная задача трёх тел: Солнце и Земля движутся по круговым орбитам вокруг общего центра масс, масса КА не влияет на движение. Единицы: расстояние — 1 а.е. (149 597 871 км), время — 1 орбитальный год / 2π = 58,132 сут, скорость — 29,7847 км/с; μ = GMЗ /G(MС + MЗ) = 3,003481·10⁻⁶.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Вращающаяся система координат с началом в барицентре, ось x направлена на Землю; угловая скорость ω = 1. Уравнения движения:</w:t>
      </w:r>
    </w:p>
    <w:p>
      <w:pPr>
        <w:keepLines/>
        <w:widowControl/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 ẍ = 2ẏ + Ω_x ,  ÿ = −2ẋ + Ω_y ,  z̈ = Ω_z ,  Ω = ½(x²+y²) + (1−μ)/r₁ + μ/r₂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r₁, r₂ — расстояния до Солнца и Земли. Интеграл Якоби C = 2Ω − v² постоянен вдоль пассивного участка, что и используется для назначения первого импульса.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Точка L2 найдена из условия ∂Ω/∂x = 0 на линии центров: расстояние Земля—L2 = 1 501 532 км (оценка третьего порядка a·(μ/3)^(1/3) = 1 496 557 км), C(L2) = 3,0008867.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Линеаризация у L2: λ = 2,4844 (неустойчивое направление, e-folding = 23,4 сут) и вертикальная частота ω_z = 1,9851 (вертикальный период 184,0 сут) — по ней выбирается точка ветвления планарного семейства.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Семейство орбит: планарные орбиты Ляпунова (две симметричные точки пересечения с осью x), затем переход к третьему измерению методом продолжения — пространственные гало-орбиты, заданные двумя перпендикулярными пересечениями плоскости xz (неизвестные x₀, v_y, T/2; решение — системой из трёх уравнений). Интегрирование: DOP853, rtol 1·10⁻⁹…1·10⁻¹³.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импульс: скорость на радиусе НОО, дающая интеграл Якоби, равный C выбранной орбиты. Его ВЕЛИЧИНА от наклонения не зависит — наклонение задаёт плоскость трассы, а не энергию. Азимут и момент старта выбирают так, чтобы плоскость НОО содержала направление Земля→L2 и была минимально наклонена к эклиптике: при i = 51,6° это i − ε = 28,2°. Что стоит иной наклон, измерено в п. 5.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импульс: перебор угла старта θ и избытка энергии dC с локальной оптимизацией; момент включения — пересечение трассы с целевой орбитой (невязка по месту после уточнения — 8 км, порог 500 км). dv2 = невязка ВЕКТОРОВ скоростей в этой точке (доля вне эклиптики — 72,9 %). Импульс именно тормозной: |v| трассы в точке входа 0,2115 км/с против 0,2111 км/с у орбиты, т.е. по энергии трасса не ниже целевой (dC = 1,94·10⁻⁷, ограничение dC &gt;= 0 наложено конструктивно). Требование «второй импульс тормозной» задано задачей и наложено конструктивно (dC &gt;= 0): без него минимум dv на этой же цели был бы на 12,8 м/с меньше, но второй импульс стал бы разгонным; по всему семейству тормозный вход при этом не дороже минимума dv.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типа орбиты (по заданию — самостоятельный): минимум суммарного dv среди орбит семейства, которые вовсе не заходят в конус тени Земли И для которых уточнённая трасса действительно попадает на орбиту (промах ≤ 500 км). Грубое перебирание с гладким штрафом «промах/50 м/с на км» служит только стартом для уточнения — критерием оно не является (табл. 1а). Затмение раз в период — это и сброс давления Солнца (ошибка удержания), и питание/терморегулирование; при требовании минимизировать удержание это стоит учитывать.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Массы: оба импульса перелёта делает разгонный блок (Isp = 445 с — криогенная водородная ступень; ТТД КВТК в доступных источниках не найдены, значение принято параметрически, п. 7); удержание делает СПД-100ВМ (Isp = 1600 с, тяга 90 мН, суммарный импульс &gt;4,5 МН·с, ресурс &gt;15 000 ч и &gt;13 000 включений — табл. 3 статьи ОКБ «Факел», 36-55.pdf).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3. Семейство орбит в окрестности L2 и выбор целевой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орбиты, рассчитанные продолжением от планарного семейства, и время их пребывания в тени Земли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150"/>
        <w:gridCol w:w="800"/>
        <w:gridCol w:w="1400"/>
        <w:gridCol w:w="1600"/>
        <w:gridCol w:w="800"/>
        <w:gridCol w:w="1300"/>
        <w:gridCol w:w="1305"/>
      </w:tblGrid>
      <w:tr>
        <w:trPr>
          <w:tblHeader/>
        </w:trPr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1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Ax,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min r от Земли,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v, км/с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полная тень, %</w:t>
            </w:r>
          </w:p>
        </w:tc>
        <w:tc>
          <w:tcPr>
            <w:tcW w:type="dxa" w:w="130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полутень, %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4 488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247 118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1 254 422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1,7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247 369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1 254 306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247 550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1 254 222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247 931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1 254 046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248 809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1 253 638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250 004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3,0008174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1 253 079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251 485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3,0008165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1 252 403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0,293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253 295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1 251 568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255 420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3,0008143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1 250 588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0,296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257 860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1 249 465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260 618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3,0008113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1 248 196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</w:tbl>
    <w:p>
      <w:pPr>
        <w:keepLines/>
        <w:widowControl/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Период целевой орбиты 180,3 сут согласуется с известными миссиями: у SOHO и ACE период гало/орбиты Лиссажу в системе Солнце—Земля составил 178 сут. С амплитудой растут C (энергия) и v_rot, т.е. dv1; в расчётном диапазоне это изменение составляет не более нескольких м/с, поэтому выбор орбиты определяется вторым импульсом и требованием к удержанию.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Геометрия тени посчитана в модели, а не взята из справки: конус полной тени Земли заканчивается в 1 382 030 км за Землёй, т.е. до L2 (1 501 532 км) не дотягивается — полной тени у L2 нет. Радиус конуса полутени на расстоянии L2 — 13 421 км, поэтому затмение получает любая орбита, у которой минимальное расстояние до оси Солнце—Земля меньше этого (для гало оно практически равно амплитуде Az).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Порог, посчитанный не по геометрии, а по самой орбите (бинарный поиск по семейству): Az_min = 12 276 км — чуть ниже геометрического, потому что ближайшее к оси Солнце—Земля место у этих орбит лежит не на расстоянии L2, а ближе к Земле, где конус полутени уже.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выбранной орбиты (Az = 120 177 км) расчёт даёт 0,0 % времени в полутени (0,0 % в полной тени), а у минимальной в таблице (Az = 4 488 км) — 1,7 % орбиты. Выбор цели (по заданию — самостоятельный): минимум суммарного dv среди беззатменных орбит, чья УТОЧНЁННАЯ трасса попадает на орбиту (промах ≤ 500 км); грубый перебор со штрафом промах/50 служит только стартом для уточнения.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1а — кандидаты: скрининг всех беззатменных, полное уточнение лидеров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400"/>
        <w:gridCol w:w="1400"/>
        <w:gridCol w:w="1400"/>
        <w:gridCol w:w="2155"/>
      </w:tblGrid>
      <w:tr>
        <w:trPr>
          <w:tblHeader/>
        </w:trPr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dv1+dv2,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тормозной?</w:t>
            </w:r>
          </w:p>
        </w:tc>
        <w:tc>
          <w:tcPr>
            <w:tcW w:type="dxa" w:w="2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роль в отборе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48743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42526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32505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3394,9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16985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3393,3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3336,1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534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3750,3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2715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выбрана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3325,7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сетку добавлена орбита с двукратным запасом по порогу тени (2·12 276 = 24 552 км): за год радиус полутени у L2 меняется лишь на ±118 км, так что запас двукратный, а не формальный; dv по семье при этом меняется на единицы м/с (табл. 1 и 1а).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4. Перелёт и характеристическая скорость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5"/>
        <w:gridCol w:w="3400"/>
      </w:tblGrid>
      <w:tr>
        <w:trPr>
          <w:tblHeader/>
        </w:trPr>
        <w:tc>
          <w:tcPr>
            <w:tcW w:type="dxa" w:w="59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3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 (гало)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Az = 120 177 км, Ax = 257 860 км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Интеграл Якоби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Угол старта в плоскости НОО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343,5°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Затмение на целевой орбите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нет: 0,0 % периода в полутени, 0,0 % в полной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Скорость после 1-го импульса (относительно Земли)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10,9825 км/с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dv1 — разгонный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активного перелёта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в момент 2-го импульса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1 664 485 км от Земли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— второй импульс (тормозной)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Суммарная характеристическая скорость dv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</w:tr>
    </w:tbl>
    <w:p>
      <w:pPr>
        <w:keepLines/>
        <w:widowControl/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Сверка с независимым расчётом: в работе Боровина, Ильина и др. (ИПМ им. М.В. Келдыша РАН) для перелёта КА «Спектр-РГ» с НОО (h = 196,5 км, i = 51,611° — то же наклонение, что принято здесь для Восточного) на гало-орбиту вокруг L2 приведён импульс перехода 3,195 км/с — то же значение, что получено здесь (dv1 = 3194,0 м/с) при другой амплитуде целевой орбиты.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 численного решения: постоянство интеграла Якоби: min 3,0008127107  max 3,0008127107 (дрейф 4,6·10⁻¹³); C coast vs C(орбиты) - dC: 3,0008127107 vs 3,0008127107 (разность -3,3·10⁻¹³); min r(Земля) на перелёте = 6 571 км, min r(L2) = 58 566 км; оскулирующая орбита отлёта в геоцентрической СК: a = 564 350 км, e = 0,988, апогей = 1 122 128 км; замыкание гало-орбиты за период: невязка 5,6·10⁻¹⁰ а.е.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1 - весь перелёт: вид сверху на эклиптику. Трасса 38 %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времени проводит со стороны Солнца - отсюда большой разброс масштабов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41052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2 - старт: НОО 200 км и первые 150 тыс. км пути (тот же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участок трассы, проинтегрированный плотно; включение - с ночной стороны)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4762500" cy="42100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3 - цель: гало и подлёт к нему; звезда - точка входа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(промах 8 км при пороге 500 км)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334000" cy="39147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4 - разрез xz: трасса и гало над конусом полутени Земли;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пунктир - расчитанный порог выхода из тени Az_min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6286500" cy="371475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5 - затенение на перелёте: rho(t) против границы полутени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r_pen(xi) (лог-шкала)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3147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6 - ход перелёта: расстояние xi(t) до Земли по оси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Солнце - Земля -&gt; L2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133725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7 - скорость: |v|(t) трассы и целевой орбиты в точке касания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(штрих-пунктир); вход тормозной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33147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5. Плоскость выведения: что стоит трасса не в эклиптике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 задаёт не только энергию, но и плоскость: трасса лежит в плоскости НОО, повёрнутой к эклиптике на 28,2° (минимум при i = 51,6°). Ниже — одна и та же трасса и та же цель (гало эклиптической семьи) при разном наклоне плоскости; dv2 дана при штатном прицеле и после локального переприцеливания по (θ, dC).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влияние наклона плоскости выведения (l2_perturb.py, п. 1)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900"/>
        <w:gridCol w:w="900"/>
        <w:gridCol w:w="1100"/>
        <w:gridCol w:w="1750"/>
        <w:gridCol w:w="1400"/>
        <w:gridCol w:w="800"/>
        <w:gridCol w:w="1555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наклон, °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dv1, м/с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dv2, м/с</w:t>
            </w:r>
          </w:p>
        </w:tc>
        <w:tc>
          <w:tcPr>
            <w:tcW w:type="dxa" w:w="1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7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 после переприцеливания,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 после него,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тоф, сут</w:t>
            </w:r>
          </w:p>
        </w:tc>
        <w:tc>
          <w:tcPr>
            <w:tcW w:type="dxa" w:w="15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вне эклиптики, %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3194,1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121,6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110 795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112,6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576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196,9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31,8 / 48,2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72,9 / 72,9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444,0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55 790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191,1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18,8 / 46,9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75,0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444,4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24 425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204,4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28,0 / 9,0</w:t>
            </w:r>
          </w:p>
        </w:tc>
      </w:tr>
    </w:tbl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dv1 от наклона плоскости не зависит (разброс 0,97 м/с): его назначает интеграл Якоби, а не геометрия старта. То есть перенос старта на Восточный стоимость разгона не меняет.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Величина dv2 при наклоне плоскости - в основном разворот вне эклиптики (при штатном прицеле 72,9 % против 28,0 % при худшем узле). Если плоскость к эклиптике не поворачивать, переприцеленная сумма dv меняется на +30 м/с при наклоне 51,6° и -67 м/с при 75,0° - в разные стороны и в пределах разброса 97 м/с, который протокол сам относит на негладкость множества пересечений (п. 1).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Разница переприцеленных dv2 (112,6 м/с при нулевом наклоне против 130,5 м/с при 28,2°) — в пределах гладкости множества пересечений трассы с целью, т.е. наклон 28,2° бесплатен. Цена плоскости относится к ЦЕЛИ: гало с наклонением, равным наклонению трассы, её снимает — так и отбираются траектории в работе Боровина и др. («наклонение которых соответствует наклонению орбиты выведения»). В проект принят dv2 = 130,5 м/с.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6. Возмущения и внемодельные ограничения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же трасса пересчитана в расширенной модели сил (l2_perturb.py). Разгонный импульс при этом не меняется: dv1 = 3194,0 м/с; все эффекты стоят во втором импульсе и в плане коррекций.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600"/>
        <w:gridCol w:w="4055"/>
      </w:tblGrid>
      <w:tr>
        <w:trPr>
          <w:tblHeader/>
        </w:trPr>
        <w:tc>
          <w:tcPr>
            <w:tcW w:type="dxa" w:w="37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dv1</w:t>
            </w:r>
          </w:p>
        </w:tc>
        <w:tc>
          <w:tcPr>
            <w:tcW w:type="dxa" w:w="4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dv2 / бюджет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 плоскости выведения (28,2°…75°, п. 5)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+30…-67 м/с; минус - значит дешевле эклиптической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Солнца (A = 20…100 м², C_R = 1,0…1,8)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2,9 м/с при прежнем прицеле; после переприцеливания -0,4 / -2,3 м/с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Тень Земли на трассе (полная и полутень)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39,2 мм/с — верхняя оценка для суток непрерывной тени; в модель не вводится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Луна (по заданию — круговая орбита в эклиптике)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= 167…435 м/с при прежнем прицеле; +252…+435 м/с после переприцеливания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и прецессии лунной орбиты — по заданию НЕ учитываются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измерено −9…+107 м/с в dv2; в бюджет не входят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Эксцентриситет орбиты Земли (e = 0,0167)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оценивается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разброс dv1 до 1683 м/с - артефакт кадра, в бюджет не входит; dv2 2057,2…10678,1 м/с - артефакт цели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Гравманёвр у Луны (поиск: 12 фаз × 11 углов)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систематического выигрыша нет: лучший из 6 ходов +180,4 м/с, после локального переприцеливания +179,5 м/с (другая точка входа, а не гравманёвр)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 и стартовая площадка (ориентация плоскости)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0…5122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нужной ориентации повторяется каждые 55,0 сут (7 раз в год)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 на гало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при допуске ±100 км — в 130 раз ниже лимита 100 м/с/год</w:t>
            </w:r>
          </w:p>
        </w:tc>
      </w:tr>
    </w:tbl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Эксцентриситет Земли. В кадре, вращающемся со средней движением, линия Солнце—Земля (вместе с L2) описывает эпицикл амплитудой 2e = 1,91°, т.е. ~5,0 млн км; поэтому фиксированная CR3BP-орбита в эллиптической модели недостижима, а большие значения dv2 (2057,2…10678,1 м/с) измеряют несоответствие цели, а не стоимость. Собственно цена эксцентриситета в dv1 не измерима: фазовый разброс dv1 до 1683 м/с — это рассогласование кадра (он вращается средней движением, а цель взята из круговой задачи), а не стоимость. Корректный расчёт требует квазипериодических орбит эллиптической задачи (ER3BP), размер которых меняется вместе с расстоянием Солнце—Земля (±1,7 %).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Луна. По заданию форма лунной орбиты (e = 0,055, наклонение 5,1°) и её прецессии (узел за 18,6 лет, апсиды за 8,85 лет) не учитываются, поэтому в модели Луна движется по круговой орбите в эклиптике. Это не «уменьшает точность без предупреждения»: величина исключённого измерена — от −9 до +107 м/с в dv2 (perturb.txt, п. 4a, 4b), т.е. сопоставима с самим эффектом Луны. Исключение этих членов — требование задания, а не вывод расчёта.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J2 и площадка. Дрейф узла НОО из-за J2 при i = 51,6° равен −5,56 °/сут, направление Земля→L2 уходит на 0,99 °/сут — нужная ориентация плоскости повторяется каждые 55,0 сут (7 окон в году). Если вместо минимального наклона к эклиптике (28,2°) старт даёт 51,6° или 75,0°, перелёт дорожает на +30…-67 м/с (п. 5); рассогласование направления разгона с касательной к НОО стоит dv1 = 3194 … 3294 … 3578 … 4004 … 4530 … 5122 м/с при 0 / 5 / 10 / 15 / 20 / 25°. Наклонение, меньшее наклонения эклиптики (23,4°), с Восточного невозможно — трасса и строится в наклонённой плоскости.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7. Масса: разгонный блок и двигатель удержания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перелёт делает разгонный блок (оба импульса), а поддержание орбиты — сам КА двигателем СПД-100ВМ, поэтому характеристическая скорость делится на две части с разными удельными импульсами: dv_РБ = dv1 + dv2 = 3324 м/с (расчёт) и 3491 м/с (с запасом 5 %), и dv удержания — по годовой норме задания (≤ 100 м/с/год).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блок: m_топл = (m_КА + m_сух_РБ)·(exp(dv/(Isp·g₀)) − 1), где m_КА = 1800 кг (сухая масса по заданию) + 5,7 кг ксенона = 1 806 кг. ТТД разгонного блока КВТК (Isp и сухая масса) в доступных источниках не найдены, поэтому приняты Isp = 445 с (криогенная водородная ступень) и m_сух_РБ = 1300 кг; ниже дана чувствительность к ±10 с.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3 — топливо разгонного блока и масса, вводимая на НОО 200 км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1900"/>
        <w:gridCol w:w="2100"/>
        <w:gridCol w:w="2455"/>
      </w:tblGrid>
      <w:tr>
        <w:trPr>
          <w:tblHeader/>
        </w:trPr>
        <w:tc>
          <w:tcPr>
            <w:tcW w:type="dxa" w:w="15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Isp РБ, 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dv, м/с</w:t>
            </w:r>
          </w:p>
        </w:tc>
        <w:tc>
          <w:tcPr>
            <w:tcW w:type="dxa" w:w="1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случай</w:t>
            </w:r>
          </w:p>
        </w:tc>
        <w:tc>
          <w:tcPr>
            <w:tcW w:type="dxa" w:w="2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топливо РБ, кг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ввести на НОО, кг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3 665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6 770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3 934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7 039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3 805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6 911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3 437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6 542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3 685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6 791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 требование к носителю: 6 653 кг на НОО 200 км, наклонение 51,6°, старт с Восточного при расчётном dv и 6 911 кг с пятипроцентным запасом. Это требование, а не проверка совместимости: без подтверждённых ТТД КВТК и грузоподъёмности носителя вывод о выполнимости сделать нельзя (п. 9).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Удержание. Из собственного числа неустойчивости модели (λ = 2,4844, e-folding 23,4 сут) ошибка 1 км по неустойчивому направлению стоит 0,495 мм/с; по одной коррекции на e-fold это 15,6 шт/год.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4 — бюджет удержания на СПД-100ВМ (тяга 90 мН, Isp 1600 с, ресурс &gt;15000 ч, &gt;13000 включений)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350"/>
        <w:gridCol w:w="1000"/>
        <w:gridCol w:w="1300"/>
        <w:gridCol w:w="1400"/>
        <w:gridCol w:w="1200"/>
        <w:gridCol w:w="1755"/>
      </w:tblGrid>
      <w:tr>
        <w:trPr>
          <w:tblHeader/>
        </w:trPr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допуск по месту</w:t>
            </w:r>
          </w:p>
        </w:tc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на коррекцию</w:t>
            </w:r>
          </w:p>
        </w:tc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за год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ксенон, кг/год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часов работы в год</w:t>
            </w:r>
          </w:p>
        </w:tc>
        <w:tc>
          <w:tcPr>
            <w:tcW w:type="dxa" w:w="1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ресурса</w:t>
            </w:r>
          </w:p>
        </w:tc>
        <w:tc>
          <w:tcPr>
            <w:tcW w:type="dxa" w:w="17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долей лимита 100 м/с/год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0,03 %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0,49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7,72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4,95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77,21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8,84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429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2,86 %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Требуемое удержание (0,77 м/с/год при ±100 км) в 130 раз меньше лимита задания, и даже сам лимит (100 м/с/год = 556 ч работы и 11,4 кг ксенона в год) умещается в ресурс одного двигателя: 19 % за 5 лет и в 167 раз в лимит включений. Запас на ошибки исполнения РД и навигации при этом остаётся: ×10 к динамическому требованию — это 7,72 м/с/год, т.е. всё ещё в 13 раз меньше лимита.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8. Ответ</w:t>
      </w:r>
    </w:p>
    <w:p>
      <w:pPr>
        <w:keepLines/>
        <w:widowControl/>
        <w:spacing w:after="6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dv1 = 3194,0 м/с (разгонный импульс с НОО, делает РБ КВТК); dv2 = 130,5 м/с (тормозной импульс, выход на гало-орбиту); суммарно dv = 3324 м/с; время активного перелёта 190,9 сут. Тип орбиты в окрестности L2 — пространственная гало-орбита с амплитудой по z 120 177 км и по x 257 860 км (период 180,3 сут), выбранная по минимуму суммарного dv среди орбит семейства, не заходящих в тень Земли и достижимых с тормозным вторым импульсом. Удержание: 0,77 м/с в год при допуске ±100 км — в 130 раз ниже заданного лимита 100 м/с/год (ксенон 0,09 кг/год, 4,3 ч работы/год).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учётом возмущений (п. 6) бюджет миссии следует принимать 3,49…3,76 км/с: расчётные 3324 м/с, плюс Луна +435 м/с, давление Солнца +2,9 м/с - наихудшая из посчитанных комбинаций, без запаса на точность исполнения коррекций. Эксцентриситет Земли в сумму не входит: его «цена» в этой модели - артефакт кадра (п. 6).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5 — сводка по массам (сухая масса КА 1800 кг по заданию)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55"/>
      </w:tblGrid>
      <w:tr>
        <w:trPr>
          <w:tblHeader/>
        </w:trPr>
        <w:tc>
          <w:tcPr>
            <w:tcW w:type="dxa" w:w="5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4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Ксенон на удержание (5 лет при ~10 м/с/год)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5,7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КА на момент включения dv1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1 806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разгонного блока (dv = 3324 м/с, Isp = 445 с)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РБ (принято)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Масса, вводимая РН на НОО 200 км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 кг (с запасом 5 % — 6 911)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9. Ограничения расчёта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Плоскость выведения считается повёрнутой к эклиптике на минимальный для данного наклонения угол i − ε = 28,2°; выбор азимута и момента старта полагается доступным, окно повторяется каждые 55,0 сут (п. 6). Место включения первого импульса при этом смещено из эклиптики на r_p·sin(28,2°) ≈ 3 105 км (0,2 % масштаба трассы) — этим пренебрежено.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Наклонное семейство гало-орбит (подбор наклонения цели под плоскость трассы, как в работе Боровина и др.) не рассчитан: п. 5 даёт верхнюю оценку цены плоскости для цели из эклиптической семьи.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Перелёт и целевая орбита заданы в круговой CR3BP; Луна (круговая, в эклиптике — по заданию), давление Солнца и эксцентриситет Земли рассматриваются как уточнение трассы, а не как перестройка семейства орбит.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 считается работоспособным весь активный участок (190,9 сут): кипение криогенного топлива, ресурс насосов и ориентация на импульс не моделировались; время перелёта в целевую функцию не входит (минимизируется только dv), поэтому трасса в 190,9 сут — следствие прицела, а не оптимума по времени.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Требование «второй импульс тормозной» — активное ограничение задачи, а не описание: без него минимум dv на этой же цели был бы на 12,8 м/с дешевле, но второй импульс получался разгонным (трасса прибывала медленнее целевой орбиты). Оно наложено конструктивно (dC &gt;= 0), и цель выбрана там, где тормозной вход существует.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 в CR3BP не зависит от амплитуды гало (λ — свойство точки L2), поэтому «по возможности минимальные» выполнено допуском по месту и выбором орбиты без затмений, а не оптимизацией по амплитуде; запас на ошибки исполнения РД и навигации в бюджет не включён.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ТТД разгонного блока КВТК и точная широта площадки Восточный по открытым источникам не подтверждены: Isp = 445 с и m_сух_РБ = 1300 кг — допущение, данное с чувствительностью (табл. 3); грузоподъёмность носителя не проверялась.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 моделируются: коррекции середины трассы и реальная схема удержания (бюджет дан через e-folding), переориентация КА (C_R постоянен), J2 в уравнения движения, эволюция орбиты на сроки много длиннее периода (180,3 сут).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Атмосферное торможение на НОО 200 км, срок активного существования и энергоресурс СПД-100ВМ (1350 Вт нужны для тяги 90 мН) в задании не оговорены и в расчёт не вводились.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10. Состав расчётных файлов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5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7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l2_transfer.py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модель CR3BP: L2, линеаризация, семейство гало с расчётом тени, прицеливание, массы РБ и СПД; вывод → result.txt (~15 мин); --check — проверка ядра модели (~2 с)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l2_perturb.py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 же трасса в расширенной модели: наклон плоскости выведения, SRP и тень, Луна (по заданию — круговая в эклиптике) с измерением исключённых членов, эллиптическая орбита Земли, J2 и площадка, удержание и ресурс СПД-100ВМ; вывод → perturb.txt (~13 мин)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plot_traj.py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рисунки 1-4: та же модель и те же числа (блок AIM в result.txt) - overview (весь перелёт сверху), zoom (первые 150 тыс. км от Земли и подлёт к гало с точкой входа), shadow (конус полутени, порог Az_min, rho(t)), profile (ход xi(t) и |v|(t))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result.txt, perturb.txt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протоколы расчётов - источники всех чисел отчёта (make_docx.js их парсит, документ не может разойтись с расчётом)</w:t>
            </w:r>
          </w:p>
        </w:tc>
      </w:tr>
    </w:tbl>
    <w:p>
      <w:pPr>
        <w:keepLines/>
        <w:widowControl/>
        <w:spacing w:after="6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Источники: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Боровин Г.К., Ильин И.С., Заславский Г.С., Лавренов С.М., Сазонов В.В., Степаньянц В.А., Тучин А.Г., Тучин Д.А., Ярошевский В.С. «Математическое моделирование движения космического аппарата в окрестности точки L2 системы Солнце—Земля» (ИПМ им. М.В. Келдыша РАН, НИУ ВШЭ) — импульс перелёта КА «Спектр-РГ» 3,195 км/с при i = 51,611°, правило подбора наклонения траектории, стратегия удержания (коррекции удержания раз в 8 недель, геометрии орбиты раз в 3–6 месяцев у ACE). ОКБ «Факел», «Ракетные двигатели АО ОКБ „Факел“» (Космическая техника и технологии, 2023, № 4(43)), табл. 3 — СПД-100ВМ: тяга 90 мН, Isp 15 696 м/с (1600 с), 1350 Вт, ресурс &gt;15 000 ч, &gt;13 000 включений, &gt;4,5 МН·с.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Расчёт перелёта НОО → L2 · стр.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</w:r>
    <w:r>
      <w:rPr>
        <w:rFonts w:ascii="Times New Roman" w:cs="Times New Roman" w:eastAsia="Times New Roman" w:hAnsi="Times New Roman"/>
        <w:sz w:val="20"/>
        <w:szCs w:val="20"/>
      </w:rPr>
      <w:instrText xml:space="preserve">PAGE</w:instrText>
    </w:r>
    <w:r>
      <w:rPr>
        <w:rFonts w:ascii="Times New Roman" w:cs="Times New Roman" w:eastAsia="Times New Roman" w:hAnsi="Times New Roman"/>
        <w:sz w:val="20"/>
        <w:szCs w:val="20"/>
      </w:rPr>
      <w:fldChar w:fldCharType="separate"/>
    </w:r>
    <w:r>
      <w:rPr>
        <w:rFonts w:ascii="Times New Roman" w:cs="Times New Roman" w:eastAsia="Times New Roman" w:hAnsi="Times New Roman"/>
        <w:sz w:val="20"/>
        <w:szCs w:val="20"/>
      </w:rPr>
      <w:fldChar w:fldCharType="end"/>
    </w:r>
    <w:r>
      <w:rPr>
        <w:rFonts w:ascii="Times New Roman" w:cs="Times New Roman" w:eastAsia="Times New Roman" w:hAnsi="Times New Roman"/>
        <w:sz w:val="20"/>
        <w:szCs w:val="20"/>
      </w:rPr>
      <w:t xml:space="preserve"> из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</w:r>
    <w:r>
      <w:rPr>
        <w:rFonts w:ascii="Times New Roman" w:cs="Times New Roman" w:eastAsia="Times New Roman" w:hAnsi="Times New Roman"/>
        <w:sz w:val="20"/>
        <w:szCs w:val="20"/>
      </w:rPr>
      <w:instrText xml:space="preserve">NUMPAGES</w:instrText>
    </w:r>
    <w:r>
      <w:rPr>
        <w:rFonts w:ascii="Times New Roman" w:cs="Times New Roman" w:eastAsia="Times New Roman" w:hAnsi="Times New Roman"/>
        <w:sz w:val="20"/>
        <w:szCs w:val="20"/>
      </w:rPr>
      <w:fldChar w:fldCharType="separate"/>
    </w:r>
    <w:r>
      <w:rPr>
        <w:rFonts w:ascii="Times New Roman" w:cs="Times New Roman" w:eastAsia="Times New Roman" w:hAnsi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1f17ca6abefc58c669edaee53d9c4b789d49ae0.png"/><Relationship Id="rId9" Type="http://schemas.openxmlformats.org/officeDocument/2006/relationships/image" Target="media/2e51afec5c10336946ed93aef5752c06b8669058.png"/><Relationship Id="rId10" Type="http://schemas.openxmlformats.org/officeDocument/2006/relationships/image" Target="media/a0d7833806198f56435174afa0cfac3650d7d61a.png"/><Relationship Id="rId11" Type="http://schemas.openxmlformats.org/officeDocument/2006/relationships/image" Target="media/f7b637e07160e7fe2a70fcad5d5d63d8813ef7bc.png"/><Relationship Id="rId12" Type="http://schemas.openxmlformats.org/officeDocument/2006/relationships/image" Target="media/fbd58e6b29dfb082779113c3d758d2d069f0e47a.png"/><Relationship Id="rId13" Type="http://schemas.openxmlformats.org/officeDocument/2006/relationships/image" Target="media/2ccbc19d64f5c39e513263d9fcfec243ba79eaf5.png"/><Relationship Id="rId14" Type="http://schemas.openxmlformats.org/officeDocument/2006/relationships/image" Target="media/7dca4758e238b0ef9ee2719f3e56b93eaff3d748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2026-10-28T00:01:37.035Z</dcterms:created>
  <dcterms:modified xsi:type="dcterms:W3CDTF">2026-10-28T00:01:37.036Z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