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Расчёт затрат характеристической скорости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 перелёт с НОО на орбиту в окрестности точки L2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системы Солнце—Земля (первое приближение: ограниченная задача трёх тел)</w:t>
      </w:r>
    </w:p>
    <w:p>
      <w:pPr>
        <w:keepLines/>
        <w:widowControl/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CR3BP, два импульса (разгонный + тормозной) на разгонном блоке; удержание орбиты — СПД-100ВМ.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Расчёт: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l2_transfer.py, l2_perturb.py (Python 3, numpy/scipy). 27 октября 2026 г.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Ключевые числа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400"/>
        <w:gridCol w:w="2250"/>
        <w:gridCol w:w="2455"/>
      </w:tblGrid>
      <w:tr>
        <w:trPr>
          <w:tblHeader/>
        </w:trPr>
        <w:tc>
          <w:tcPr>
            <w:tcW w:type="dxa" w:w="22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2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22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24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dv₁ (разгонный с НОО)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 м/с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перелёта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 сут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dv₂ (тормозной)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 м/с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Промах прицела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 км (порог 500 км)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Суммарно dv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 м/с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гало, Az = 120 177 км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Удержание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 м/с/год (±100 км)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Ограничение задания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100 м/с/год, запас ×130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Топливо РБ / ввод на НОО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 / 6 653 кг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Бюджет миссии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3,49…3,76 км/с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Подробности: перелёт и массы - п. 4 и 7, возмущения, тень и лимит удержания - п. 5 и 6, ограничения расчёта и то, что в нём не моделировалось, - п. 9.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1. Постановка задачи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требуется рассчитать затраты характеристической скорости на перелёт с низкой околоземной орбиты на орбиту в окрестности точки L2 системы Солнце—Земля. Решение — в первом приближении, на основе решения задачи трёх тел; перелёт выполняется двумя импульсами: разгонным и тормозным; тип орбиты в окрестности точки Лагранжа выбирается самостоятельно. Перелёт делает разгонный блок, поддержание орбиты — космический аппарат двигателем СПД-100ВМ, и затраты на него не должны превышать 100 м/с в год (по возможности минимальные). Влияние формы лунной орбиты и её прецессии по заданию не учитывается.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55"/>
      </w:tblGrid>
      <w:tr>
        <w:trPr>
          <w:tblHeader/>
        </w:trPr>
        <w:tc>
          <w:tcPr>
            <w:tcW w:type="dxa" w:w="3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6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Космодром / разгонный блок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Восточный / КВТК (выполняет оба импульса перелёта)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Двигатель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СПД-100ВМ (тяга 90 мН, Isp 1600 с, ресурс &gt;15 000 ч)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Высота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 км (r = 6 571 км)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Наклонение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51,6° (прямой старт с Восточного)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Бюджет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100 м/с в год, по возможности минимальный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учитывается (по заданию)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лунной орбиты (e, наклонение) и её прецессии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выбирается расчётом: семейство гало-орбит у L2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2. Модель и методика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Использована круговая ограниченная задача трёх тел: Солнце и Земля движутся по круговым орбитам вокруг общего центра масс, масса КА не влияет на движение. Единицы: расстояние — 1 а.е. (149 597 871 км), время — 1 орбитальный год / 2π = 58,132 сут, скорость — 29,7847 км/с; μ = GMЗ /G(MС + MЗ) = 3,003481·10⁻⁶.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Вращающаяся система координат с началом в барицентре, ось x направлена на Землю; угловая скорость ω = 1. Уравнения движения:</w:t>
      </w:r>
    </w:p>
    <w:p>
      <w:pPr>
        <w:keepLines/>
        <w:widowControl/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{ ẍ = 2ẏ + Ω_x ,  ÿ = −2ẋ + Ω_y ,  z̈ = Ω_z ,  Ω = ½(x²+y²) + (1−μ)/r₁ + μ/r₂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 r₁, r₂ — расстояния до Солнца и Земли. Интеграл Якоби C = 2Ω − v² постоянен вдоль пассивного участка, что и используется для назначения первого импульса.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Точка L2 найдена из условия ∂Ω/∂x = 0 на линии центров: расстояние Земля—L2 = 1 501 532 км (оценка третьего порядка a·(μ/3)^(1/3) = 1 496 557 км), C(L2) = 3,0008867.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Линеаризация у L2: λ = 2,4844 (неустойчивое направление, e-folding = 23,4 сут) и вертикальная частота ω_z = 1,9851 (вертикальный период 184,0 сут) — по ней выбирается точка ветвления планарного семейства.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Семейство орбит: планарные орбиты Ляпунова (две симметричные точки пересечения с осью x), затем переход к третьему измерению методом продолжения — пространственные гало-орбиты, заданные двумя перпендикулярными пересечениями плоскости xz (неизвестные x₀, v_y, T/2; решение — системой из трёх уравнений). Интегрирование: DOP853, rtol 1·10⁻⁹…1·10⁻¹³.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импульс: скорость на радиусе НОО, дающая интеграл Якоби, равный C выбранной орбиты. Его ВЕЛИЧИНА от наклонения не зависит — наклонение задаёт плоскость трассы, а не энергию. Азимут и момент старта выбирают так, чтобы плоскость НОО содержала направление Земля→L2 и была минимально наклонена к эклиптике: при i = 51,6° это i − ε = 28,2°. Что стоит иной наклон, измерено в п. 5.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Второй импульс: перебор угла старта θ и избытка энергии dC с локальной оптимизацией; момент включения — пересечение трассы с целевой орбитой (невязка по месту после уточнения — 8 км, порог 500 км). dv2 = невязка ВЕКТОРОВ скоростей в этой точке (доля вне эклиптики — 72,9 %). Импульс именно тормозной: |v| трассы в точке входа 0,2115 км/с против 0,2111 км/с у орбиты, т.е. по энергии трасса не ниже целевой (dC = 1,94·10⁻⁷, ограничение dC &gt;= 0 наложено конструктивно). Требование «второй импульс тормозной» задано задачей и наложено конструктивно (dC &gt;= 0): без него минимум dv на этой же цели был бы на 12,8 м/с меньше, но второй импульс стал бы разгонным; по всему семейству тормозный вход при этом не дороже минимума dv.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Выбор типа орбиты (по заданию — самостоятельный): минимум суммарного dv среди орбит семейства, которые вовсе не заходят в конус тени Земли И для которых уточнённая трасса действительно попадает на орбиту (промах ≤ 500 км). Грубое перебирание с гладким штрафом «промах/50 м/с на км» служит только стартом для уточнения — критерием оно не является (табл. 1а). Затмение раз в период — это и сброс давления Солнца (ошибка удержания), и питание/терморегулирование; при требовании минимизировать удержание это стоит учитывать.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Массы: оба импульса перелёта делает разгонный блок (Isp = 445 с — криогенная водородная ступень; ТТД КВТК в доступных источниках не найдены, значение принято параметрически, п. 7); удержание делает СПД-100ВМ (Isp = 1600 с, тяга 90 мН, суммарный импульс &gt;4,5 МН·с, ресурс &gt;15 000 ч и &gt;13 000 включений — табл. 3 статьи ОКБ «Факел», 36-55.pdf).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3. Семейство орбит в окрестности L2 и выбор целевой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 — орбиты, рассчитанные продолжением от планарного семейства, и время их пребывания в тени Земли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150"/>
        <w:gridCol w:w="800"/>
        <w:gridCol w:w="1400"/>
        <w:gridCol w:w="1600"/>
        <w:gridCol w:w="800"/>
        <w:gridCol w:w="1300"/>
        <w:gridCol w:w="1305"/>
      </w:tblGrid>
      <w:tr>
        <w:trPr>
          <w:tblHeader/>
        </w:trPr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1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Ax,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T, сут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min r от Земли,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v, км/с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полная тень, %</w:t>
            </w:r>
          </w:p>
        </w:tc>
        <w:tc>
          <w:tcPr>
            <w:tcW w:type="dxa" w:w="130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полутень, %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4 488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247 118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3,0008190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1 254 422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0,290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1,7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247 369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1 254 306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247 550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1 254 222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247 931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1 254 046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248 809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1 253 638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250 004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3,0008174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1 253 079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251 485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3,0008165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1 252 403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0,293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253 295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1 251 568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0,295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255 420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3,0008143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1 250 588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0,296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257 860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1 249 465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0,298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260 618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3,0008113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1 248 196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0,299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</w:tbl>
    <w:p>
      <w:pPr>
        <w:keepLines/>
        <w:widowControl/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Период целевой орбиты 180,3 сут согласуется с известными миссиями: у SOHO и ACE период гало/орбиты Лиссажу в системе Солнце—Земля составил 178 сут. С амплитудой растут C (энергия) и v_rot, т.е. dv1; в расчётном диапазоне это изменение составляет не более нескольких м/с, поэтому выбор орбиты определяется вторым импульсом и требованием к удержанию.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Геометрия тени посчитана в модели, а не взята из справки: конус полной тени Земли заканчивается в 1 382 030 км за Землёй, т.е. до L2 (1 501 532 км) не дотягивается — полной тени у L2 нет. Радиус конуса полутени на расстоянии L2 — 13 421 км, поэтому затмение получает любая орбита, у которой минимальное расстояние до оси Солнце—Земля меньше этого (для гало оно практически равно амплитуде Az).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Порог, посчитанный не по геометрии, а по самой орбите (бинарный поиск по семейству): Az_min = 12 276 км — чуть ниже геометрического, потому что ближайшее к оси Солнце—Земля место у этих орбит лежит не на расстоянии L2, а ближе к Земле, где конус полутени уже.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выбранной орбиты (Az = 120 177 км) расчёт даёт 0,0 % времени в полутени (0,0 % в полной тени), а у минимальной в таблице (Az = 4 488 км) — 1,7 % орбиты. Выбор цели (по заданию — самостоятельный): минимум суммарного dv среди беззатменных орбит, чья УТОЧНЁННАЯ трасса попадает на орбиту (промах ≤ 500 км); грубый перебор со штрафом промах/50 служит только стартом для уточнения.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1а — кандидаты: скрининг всех беззатменных, полное уточнение лидеров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400"/>
        <w:gridCol w:w="1400"/>
        <w:gridCol w:w="1400"/>
        <w:gridCol w:w="2155"/>
      </w:tblGrid>
      <w:tr>
        <w:trPr>
          <w:tblHeader/>
        </w:trPr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dv1+dv2, м/с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время, сут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тормозной?</w:t>
            </w:r>
          </w:p>
        </w:tc>
        <w:tc>
          <w:tcPr>
            <w:tcW w:type="dxa" w:w="2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роль в отборе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3396,5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48743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3395,9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42526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3395,8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32505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3394,9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16985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3393,3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1989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3336,1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534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3326,5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3322,8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390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3750,3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2715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146,8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3322,7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выбрана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3325,7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повтор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сетку добавлена орбита с двукратным запасом по порогу тени (2·12 276 = 24 552 км): за год радиус полутени у L2 меняется лишь на ±118 км, так что запас двукратный, а не формальный; dv по семье при этом меняется на единицы м/с (табл. 1 и 1а).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4. Перелёт и характеристическая скорость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55"/>
        <w:gridCol w:w="3400"/>
      </w:tblGrid>
      <w:tr>
        <w:trPr>
          <w:tblHeader/>
        </w:trPr>
        <w:tc>
          <w:tcPr>
            <w:tcW w:type="dxa" w:w="59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3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 (гало)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Az = 120 177 км, Ax = 257 860 км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Интеграл Якоби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Угол старта в плоскости НОО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343,5°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Затмение на целевой орбите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нет: 0,0 % периода в полутени, 0,0 % в полной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Скорость после 1-го импульса (относительно Земли)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10,9825 км/с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dv1 — разгонный импульс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активного перелёта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в момент 2-го импульса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1 664 485 км от Земли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— второй импульс (тормозной)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Суммарная характеристическая скорость dv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 м/с</w:t>
            </w:r>
          </w:p>
        </w:tc>
      </w:tr>
    </w:tbl>
    <w:p>
      <w:pPr>
        <w:keepLines/>
        <w:widowControl/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Сверка с независимым расчётом: в работе Боровина, Ильина и др. (ИПМ им. М.В. Келдыша РАН) для перелёта КА «Спектр-РГ» с НОО (h = 196,5 км, i = 51,611° — то же наклонение, что принято здесь для Восточного) на гало-орбиту вокруг L2 приведён импульс перехода 3,195 км/с — то же значение, что получено здесь (dv1 = 3194,0 м/с) при другой амплитуде целевой орбиты.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Контроль численного решения: постоянство интеграла Якоби: min 3,0008127107  max 3,0008127107 (дрейф 4,6·10⁻¹³); C coast vs C(орбиты) - dC: 3,0008127107 vs 3,0008127107 (разность -3,3·10⁻¹³); min r(Земля) на перелёте = 6 571 км, min r(L2) = 58 566 км; оскулирующая орбита отлёта в геоцентрической СК: a = 564 350 км, e = 0,988, апогей = 1 122 128 км; замыкание гало-орбиты за период: невязка 5,6·10⁻¹⁰ а.е.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1 - весь перелёт: вид сверху на эклиптику. Трасса 38 %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времени проводит со стороны Солнца - отсюда большой разброс масштабов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41052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2 - старт: НОО 200 км и первые 150 тыс. км пути (тот же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участок трассы, проинтегрированный плотно; включение - с ночной стороны)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4762500" cy="42100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3 - цель: гало и подлёт к нему; звезда - точка входа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(промах 8 км при пороге 500 км)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334000" cy="33528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4 - разрез xz: трасса и гало над конусом полутени Земли;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пунктир - расчитанный порог выхода из тени Az_min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6286500" cy="371475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5 - затенение на перелёте: rho(t) против границы полутени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r_pen(xi) (лог-шкала)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331470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6 - ход перелёта: расстояние xi(t) до Земли по оси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Солнце - Земля -&gt; L2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313372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7 - скорость: |v|(t) трассы и целевой орбиты в точке касания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(штрих-пунктир); вход тормозной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331470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5. Плоскость выведения: что стоит трасса не в эклиптике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 задаёт не только энергию, но и плоскость: трасса лежит в плоскости НОО, повёрнутой к эклиптике на 28,2° (минимум при i = 51,6°). Ниже — одна и та же трасса и та же цель (гало эклиптической семьи) при разном наклоне плоскости; dv2 дана при штатном прицеле и после локального переприцеливания по (θ, dC).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2 — влияние наклона плоскости выведения (l2_perturb.py, п. 1)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900"/>
        <w:gridCol w:w="900"/>
        <w:gridCol w:w="1100"/>
        <w:gridCol w:w="1750"/>
        <w:gridCol w:w="1400"/>
        <w:gridCol w:w="800"/>
        <w:gridCol w:w="1555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наклон, °</w:t>
            </w:r>
          </w:p>
        </w:tc>
        <w:tc>
          <w:tcPr>
            <w:tcW w:type="dxa" w:w="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dv1, м/с</w:t>
            </w:r>
          </w:p>
        </w:tc>
        <w:tc>
          <w:tcPr>
            <w:tcW w:type="dxa" w:w="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dv2, м/с</w:t>
            </w:r>
          </w:p>
        </w:tc>
        <w:tc>
          <w:tcPr>
            <w:tcW w:type="dxa" w:w="11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17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 после переприцеливания, м/с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 после него,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тоф, сут</w:t>
            </w:r>
          </w:p>
        </w:tc>
        <w:tc>
          <w:tcPr>
            <w:tcW w:type="dxa" w:w="15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вне эклиптики, %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3194,1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121,6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110 795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112,6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576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196,9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31,8 / 48,2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28,2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72,9 / 72,9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3193,6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444,0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55 790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483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191,1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18,8 / 46,9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75,0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3193,2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444,4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24 425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46,8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204,4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28,0 / 9,0</w:t>
            </w:r>
          </w:p>
        </w:tc>
      </w:tr>
    </w:tbl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dv1 от наклона плоскости не зависит (разброс 0,97 м/с): его назначает интеграл Якоби, а не геометрия старта. То есть перенос старта на Восточный стоимость разгона не меняет.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Величина dv2 при наклоне плоскости - в основном разворот вне эклиптики (при штатном прицеле 72,9 % против 28,0 % при худшем узле). Если плоскость к эклиптике не поворачивать, переприцеленная сумма dv меняется на +30 м/с при наклоне 51,6° и -67 м/с при 75,0° - в разные стороны и в пределах разброса 97 м/с, который протокол сам относит на негладкость множества пересечений (п. 1).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Разница переприцеленных dv2 (112,6 м/с при нулевом наклоне против 130,5 м/с при 28,2°) — в пределах гладкости множества пересечений трассы с целью, т.е. наклон 28,2° бесплатен. Цена плоскости относится к ЦЕЛИ: гало с наклонением, равным наклонению трассы, её снимает — так и отбираются траектории в работе Боровина и др. («наклонение которых соответствует наклонению орбиты выведения»). В проект принят dv2 = 130,5 м/с.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6. Возмущения и внемодельные ограничения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 же трасса пересчитана в расширенной модели сил (l2_perturb.py). Разгонный импульс при этом не меняется: dv1 = 3194,0 м/с; все эффекты стоят во втором импульсе и в плане коррекций.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600"/>
        <w:gridCol w:w="4055"/>
      </w:tblGrid>
      <w:tr>
        <w:trPr>
          <w:tblHeader/>
        </w:trPr>
        <w:tc>
          <w:tcPr>
            <w:tcW w:type="dxa" w:w="37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Эффект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dv1</w:t>
            </w:r>
          </w:p>
        </w:tc>
        <w:tc>
          <w:tcPr>
            <w:tcW w:type="dxa" w:w="4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dv2 / бюджет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 плоскости выведения (28,2°…75°, п. 5)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+30…-67 м/с; минус - значит дешевле эклиптической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Давление Солнца (A = 20…100 м², C_R = 1,0…1,8)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2,9 м/с при прежнем прицеле; после переприцеливания -0,4 / -2,3 м/с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Тень Земли на трассе (полная и полутень)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39,2 мм/с — верхняя оценка для суток непрерывной тени; в модель не вводится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Луна (по заданию — круговая орбита в эклиптике)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= 167…435 м/с при прежнем прицеле; +252…+435 м/с после переприцеливания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и прецессии лунной орбиты — по заданию НЕ учитываются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измерено −9…+107 м/с в dv2; в бюджет не входят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Эксцентриситет орбиты Земли (e = 0,0167)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оценивается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разброс dv1 до 1683 м/с - артефакт кадра, в бюджет не входит; dv2 2057,2…10678,1 м/с - артефакт цели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Гравманёвр у Луны (поиск: 12 фаз × 11 углов)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систематического выигрыша нет: лучший из 6 ходов +180,4 м/с, после локального переприцеливания +179,5 м/с (другая точка входа, а не гравманёвр)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J2 и стартовая площадка (ориентация плоскости)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0…5122 м/с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нужной ориентации повторяется каждые 55,0 сут (7 раз в год)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Удержание на гало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 м/с/год при допуске ±100 км — в 130 раз ниже лимита 100 м/с/год</w:t>
            </w:r>
          </w:p>
        </w:tc>
      </w:tr>
    </w:tbl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Эксцентриситет Земли. В кадре, вращающемся со средней движением, линия Солнце—Земля (вместе с L2) описывает эпицикл амплитудой 2e = 1,91°, т.е. ~5,0 млн км; поэтому фиксированная CR3BP-орбита в эллиптической модели недостижима, а большие значения dv2 (2057,2…10678,1 м/с) измеряют несоответствие цели, а не стоимость. Собственно цена эксцентриситета в dv1 не измерима: фазовый разброс dv1 до 1683 м/с — это рассогласование кадра (он вращается средней движением, а цель взята из круговой задачи), а не стоимость. Корректный расчёт требует квазипериодических орбит эллиптической задачи (ER3BP), размер которых меняется вместе с расстоянием Солнце—Земля (±1,7 %).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Луна. По заданию форма лунной орбиты (e = 0,055, наклонение 5,1°) и её прецессии (узел за 18,6 лет, апсиды за 8,85 лет) не учитываются, поэтому в модели Луна движется по круговой орбите в эклиптике. Это не «уменьшает точность без предупреждения»: величина исключённого измерена — от −9 до +107 м/с в dv2 (perturb.txt, п. 4a, 4b), т.е. сопоставима с самим эффектом Луны. Исключение этих членов — требование задания, а не вывод расчёта.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J2 и площадка. Дрейф узла НОО из-за J2 при i = 51,6° равен −5,56 °/сут, направление Земля→L2 уходит на 0,99 °/сут — нужная ориентация плоскости повторяется каждые 55,0 сут (7 окон в году). Если вместо минимального наклона к эклиптике (28,2°) старт даёт 51,6° или 75,0°, перелёт дорожает на +30…-67 м/с (п. 5); рассогласование направления разгона с касательной к НОО стоит dv1 = 3194 … 3294 … 3578 … 4004 … 4530 … 5122 м/с при 0 / 5 / 10 / 15 / 20 / 25°. Наклонение, меньшее наклонения эклиптики (23,4°), с Восточного невозможно — трасса и строится в наклонённой плоскости.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7. Масса: разгонный блок и двигатель удержания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перелёт делает разгонный блок (оба импульса), а поддержание орбиты — сам КА двигателем СПД-100ВМ, поэтому характеристическая скорость делится на две части с разными удельными импульсами: dv_РБ = dv1 + dv2 = 3324 м/с (расчёт) и 3491 м/с (с запасом 5 %), и dv удержания — по годовой норме задания (≤ 100 м/с/год).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блок: m_топл = (m_КА + m_сух_РБ)·(exp(dv/(Isp·g₀)) − 1), где m_КА = 1800 кг (сухая масса по заданию) + 5,7 кг ксенона = 1 806 кг. ТТД разгонного блока КВТК (Isp и сухая масса) в доступных источниках не найдены, поэтому приняты Isp = 445 с (криогенная водородная ступень) и m_сух_РБ = 1300 кг; ниже дана чувствительность к ±10 с.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3 — топливо разгонного блока и масса, вводимая на НОО 200 км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1900"/>
        <w:gridCol w:w="2100"/>
        <w:gridCol w:w="2455"/>
      </w:tblGrid>
      <w:tr>
        <w:trPr>
          <w:tblHeader/>
        </w:trPr>
        <w:tc>
          <w:tcPr>
            <w:tcW w:type="dxa" w:w="15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Isp РБ, 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dv, м/с</w:t>
            </w:r>
          </w:p>
        </w:tc>
        <w:tc>
          <w:tcPr>
            <w:tcW w:type="dxa" w:w="1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случай</w:t>
            </w:r>
          </w:p>
        </w:tc>
        <w:tc>
          <w:tcPr>
            <w:tcW w:type="dxa" w:w="21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топливо РБ, кг</w:t>
            </w:r>
          </w:p>
        </w:tc>
        <w:tc>
          <w:tcPr>
            <w:tcW w:type="dxa" w:w="24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ввести на НОО, кг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3 665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6 770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3 934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7 039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6 653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3 805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6 911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3 437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6 542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3 685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6 791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Итого требование к носителю: 6 653 кг на НОО 200 км, наклонение 51,6°, старт с Восточного при расчётном dv и 6 911 кг с пятипроцентным запасом. Это требование, а не проверка совместимости: без подтверждённых ТТД КВТК и грузоподъёмности носителя вывод о выполнимости сделать нельзя (п. 9).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Удержание. Из собственного числа неустойчивости модели (λ = 2,4844, e-folding 23,4 сут) ошибка 1 км по неустойчивому направлению стоит 0,495 мм/с; по одной коррекции на e-fold это 15,6 шт/год.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4 — бюджет удержания на СПД-100ВМ (тяга 90 мН, Isp 1600 с, ресурс &gt;15000 ч, &gt;13000 включений)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1350"/>
        <w:gridCol w:w="1000"/>
        <w:gridCol w:w="1300"/>
        <w:gridCol w:w="1400"/>
        <w:gridCol w:w="1200"/>
        <w:gridCol w:w="1755"/>
      </w:tblGrid>
      <w:tr>
        <w:trPr>
          <w:tblHeader/>
        </w:trPr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допуск по месту</w:t>
            </w:r>
          </w:p>
        </w:tc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на коррекцию</w:t>
            </w:r>
          </w:p>
        </w:tc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за год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ксенон, кг/год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часов работы в год</w:t>
            </w:r>
          </w:p>
        </w:tc>
        <w:tc>
          <w:tcPr>
            <w:tcW w:type="dxa" w:w="1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ресурса</w:t>
            </w:r>
          </w:p>
        </w:tc>
        <w:tc>
          <w:tcPr>
            <w:tcW w:type="dxa" w:w="17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долей лимита 100 м/с/год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0,03 %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0,49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7,72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0,89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4,95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77,21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8,84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429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2,86 %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Требуемое удержание (0,77 м/с/год при ±100 км) в 130 раз меньше лимита задания, и даже сам лимит (100 м/с/год = 556 ч работы и 11,4 кг ксенона в год) умещается в ресурс одного двигателя: 19 % за 5 лет и в 167 раз в лимит включений. Запас на ошибки исполнения РД и навигации при этом остаётся: ×10 к динамическому требованию — это 7,72 м/с/год, т.е. всё ещё в 13 раз меньше лимита.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8. Ответ</w:t>
      </w:r>
    </w:p>
    <w:p>
      <w:pPr>
        <w:keepLines/>
        <w:widowControl/>
        <w:spacing w:after="6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dv1 = 3194,0 м/с (разгонный импульс с НОО, делает РБ КВТК); dv2 = 130,5 м/с (тормозной импульс, выход на гало-орбиту); суммарно dv = 3324 м/с; время активного перелёта 190,9 сут. Тип орбиты в окрестности L2 — пространственная гало-орбита с амплитудой по z 120 177 км и по x 257 860 км (период 180,3 сут), выбранная по минимуму суммарного dv среди орбит семейства, не заходящих в тень Земли и достижимых с тормозным вторым импульсом. Удержание: 0,77 м/с в год при допуске ±100 км — в 130 раз ниже заданного лимита 100 м/с/год (ксенон 0,09 кг/год, 4,3 ч работы/год).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учётом возмущений (п. 6) бюджет миссии следует принимать 3,49…3,76 км/с: расчётные 3324 м/с, плюс Луна +435 м/с, давление Солнца +2,9 м/с - наихудшая из посчитанных комбинаций, без запаса на точность исполнения коррекций. Эксцентриситет Земли в сумму не входит: его «цена» в этой модели - артефакт кадра (п. 6).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5 — сводка по массам (сухая масса КА 1800 кг по заданию)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55"/>
      </w:tblGrid>
      <w:tr>
        <w:trPr>
          <w:tblHeader/>
        </w:trPr>
        <w:tc>
          <w:tcPr>
            <w:tcW w:type="dxa" w:w="5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4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Ксенон на удержание (5 лет при ~10 м/с/год)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5,7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КА на момент включения dv1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1 806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Топливо разгонного блока (dv = 3324 м/с, Isp = 445 с)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РБ (принято)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Масса, вводимая РН на НОО 200 км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6 653 кг (с запасом 5 % — 6 911)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9. Ограничения расчёта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Плоскость выведения считается повёрнутой к эклиптике на минимальный для данного наклонения угол i − ε = 28,2°; выбор азимута и момента старта полагается доступным, окно повторяется каждые 55,0 сут (п. 6). Место включения первого импульса при этом смещено из эклиптики на r_p·sin(28,2°) ≈ 3 105 км (0,2 % масштаба трассы) — этим пренебрежено.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Наклонное семейство гало-орбит (подбор наклонения цели под плоскость трассы, как в работе Боровина и др.) не рассчитан: п. 5 даёт верхнюю оценку цены плоскости для цели из эклиптической семьи.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Перелёт и целевая орбита заданы в круговой CR3BP; Луна (круговая, в эклиптике — по заданию), давление Солнца и эксцентриситет Земли рассматриваются как уточнение трассы, а не как перестройка семейства орбит.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 считается работоспособным весь активный участок (190,9 сут): кипение криогенного топлива, ресурс насосов и ориентация на импульс не моделировались; время перелёта в целевую функцию не входит (минимизируется только dv), поэтому трасса в 190,9 сут — следствие прицела, а не оптимума по времени.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Требование «второй импульс тормозной» — активное ограничение задачи, а не описание: без него минимум dv на этой же цели был бы на 12,8 м/с дешевле, но второй импульс получался разгонным (трасса прибывала медленнее целевой орбиты). Оно наложено конструктивно (dC &gt;= 0), и цель выбрана там, где тормозной вход существует.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 в CR3BP не зависит от амплитуды гало (λ — свойство точки L2), поэтому «по возможности минимальные» выполнено допуском по месту и выбором орбиты без затмений, а не оптимизацией по амплитуде; запас на ошибки исполнения РД и навигации в бюджет не включён.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ТТД разгонного блока КВТК и точная широта площадки Восточный по открытым источникам не подтверждены: Isp = 445 с и m_сух_РБ = 1300 кг — допущение, данное с чувствительностью (табл. 3); грузоподъёмность носителя не проверялась.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 моделируются: коррекции середины трассы и реальная схема удержания (бюджет дан через e-folding), переориентация КА (C_R постоянен), J2 в уравнения движения, эволюция орбиты на сроки много длиннее периода (180,3 сут).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Атмосферное торможение на НОО 200 км, срок активного существования и энергоресурс СПД-100ВМ (1350 Вт нужны для тяги 90 мН) в задании не оговорены и в расчёт не вводились.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10. Состав расчётных файлов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5"/>
      </w:tblGrid>
      <w:tr>
        <w:trPr>
          <w:tblHeader/>
        </w:trPr>
        <w:tc>
          <w:tcPr>
            <w:tcW w:type="dxa" w:w="2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7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l2_transfer.py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модель CR3BP: L2, линеаризация, семейство гало с расчётом тени, прицеливание, массы РБ и СПД; вывод → result.txt (~15 мин); --check — проверка ядра модели (~2 с)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l2_perturb.py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 же трасса в расширенной модели: наклон плоскости выведения, SRP и тень, Луна (по заданию — круговая в эклиптике) с измерением исключённых членов, эллиптическая орбита Земли, J2 и площадка, удержание и ресурс СПД-100ВМ; вывод → perturb.txt (~13 мин)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plot_traj.py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рисунки 1-4: та же модель и те же числа (блок AIM в result.txt) - overview (весь перелёт сверху), zoom (первые 150 тыс. км от Земли и подлёт к гало с точкой входа), shadow (конус полутени, порог Az_min, rho(t)), profile (ход xi(t) и |v|(t))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result.txt, perturb.txt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протоколы расчётов - источники всех чисел отчёта (make_docx.js их парсит, документ не может разойтись с расчётом)</w:t>
            </w:r>
          </w:p>
        </w:tc>
      </w:tr>
    </w:tbl>
    <w:p>
      <w:pPr>
        <w:keepLines/>
        <w:widowControl/>
        <w:spacing w:after="6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Источники: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Боровин Г.К., Ильин И.С., Заславский Г.С., Лавренов С.М., Сазонов В.В., Степаньянц В.А., Тучин А.Г., Тучин Д.А., Ярошевский В.С. «Математическое моделирование движения космического аппарата в окрестности точки L2 системы Солнце—Земля» (ИПМ им. М.В. Келдыша РАН, НИУ ВШЭ) — импульс перелёта КА «Спектр-РГ» 3,195 км/с при i = 51,611°, правило подбора наклонения траектории, стратегия удержания (коррекции удержания раз в 8 недель, геометрии орбиты раз в 3–6 месяцев у ACE). ОКБ «Факел», «Ракетные двигатели АО ОКБ „Факел“» (Космическая техника и технологии, 2023, № 4(43)), табл. 3 — СПД-100ВМ: тяга 90 мН, Isp 15 696 м/с (1600 с), 1350 Вт, ресурс &gt;15 000 ч, &gt;13 000 включений, &gt;4,5 МН·с.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Расчёт перелёта НОО → L2 · стр.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</w:r>
    <w:r>
      <w:rPr>
        <w:rFonts w:ascii="Times New Roman" w:cs="Times New Roman" w:eastAsia="Times New Roman" w:hAnsi="Times New Roman"/>
        <w:sz w:val="20"/>
        <w:szCs w:val="20"/>
      </w:rPr>
      <w:instrText xml:space="preserve">PAGE</w:instrText>
    </w:r>
    <w:r>
      <w:rPr>
        <w:rFonts w:ascii="Times New Roman" w:cs="Times New Roman" w:eastAsia="Times New Roman" w:hAnsi="Times New Roman"/>
        <w:sz w:val="20"/>
        <w:szCs w:val="20"/>
      </w:rPr>
      <w:fldChar w:fldCharType="separate"/>
    </w:r>
    <w:r>
      <w:rPr>
        <w:rFonts w:ascii="Times New Roman" w:cs="Times New Roman" w:eastAsia="Times New Roman" w:hAnsi="Times New Roman"/>
        <w:sz w:val="20"/>
        <w:szCs w:val="20"/>
      </w:rPr>
      <w:fldChar w:fldCharType="end"/>
    </w:r>
    <w:r>
      <w:rPr>
        <w:rFonts w:ascii="Times New Roman" w:cs="Times New Roman" w:eastAsia="Times New Roman" w:hAnsi="Times New Roman"/>
        <w:sz w:val="20"/>
        <w:szCs w:val="20"/>
      </w:rPr>
      <w:t xml:space="preserve"> из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</w:r>
    <w:r>
      <w:rPr>
        <w:rFonts w:ascii="Times New Roman" w:cs="Times New Roman" w:eastAsia="Times New Roman" w:hAnsi="Times New Roman"/>
        <w:sz w:val="20"/>
        <w:szCs w:val="20"/>
      </w:rPr>
      <w:instrText xml:space="preserve">NUMPAGES</w:instrText>
    </w:r>
    <w:r>
      <w:rPr>
        <w:rFonts w:ascii="Times New Roman" w:cs="Times New Roman" w:eastAsia="Times New Roman" w:hAnsi="Times New Roman"/>
        <w:sz w:val="20"/>
        <w:szCs w:val="20"/>
      </w:rPr>
      <w:fldChar w:fldCharType="separate"/>
    </w:r>
    <w:r>
      <w:rPr>
        <w:rFonts w:ascii="Times New Roman" w:cs="Times New Roman" w:eastAsia="Times New Roman" w:hAnsi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e1f17ca6abefc58c669edaee53d9c4b789d49ae0.png"/><Relationship Id="rId9" Type="http://schemas.openxmlformats.org/officeDocument/2006/relationships/image" Target="media/2e51afec5c10336946ed93aef5752c06b8669058.png"/><Relationship Id="rId10" Type="http://schemas.openxmlformats.org/officeDocument/2006/relationships/image" Target="media/8a702bfcd5f3e0fea85e7c986be6aab163c44e18.png"/><Relationship Id="rId11" Type="http://schemas.openxmlformats.org/officeDocument/2006/relationships/image" Target="media/8ac47404d9c628b8172a5df8ea75cbc297413d55.png"/><Relationship Id="rId12" Type="http://schemas.openxmlformats.org/officeDocument/2006/relationships/image" Target="media/fbd58e6b29dfb082779113c3d758d2d069f0e47a.png"/><Relationship Id="rId13" Type="http://schemas.openxmlformats.org/officeDocument/2006/relationships/image" Target="media/2ccbc19d64f5c39e513263d9fcfec243ba79eaf5.png"/><Relationship Id="rId14" Type="http://schemas.openxmlformats.org/officeDocument/2006/relationships/image" Target="media/7dca4758e238b0ef9ee2719f3e56b93eaff3d7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2026-10-28T00:20:34.855Z</dcterms:created>
  <dcterms:modified xsi:type="dcterms:W3CDTF">2026-10-28T00:20:34.855Z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