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151182" w:rsidRPr="00151182" w:rsidRDefault="00F7600F" w:rsidP="00151182">
      <w:pPr>
        <w:pStyle w:val="Heading1"/>
        <w:jc w:val="center"/>
        <w:rPr>
          <w:sz w:val="48"/>
          <w:szCs w:val="48"/>
        </w:rPr>
      </w:pPr>
      <w:r>
        <w:rPr>
          <w:sz w:val="48"/>
          <w:szCs w:val="48"/>
        </w:rPr>
        <w:t>Yard</w:t>
      </w:r>
      <w:r w:rsidR="002A74DE" w:rsidRPr="00617115">
        <w:rPr>
          <w:sz w:val="48"/>
          <w:szCs w:val="48"/>
        </w:rPr>
        <w:t xml:space="preserve"> Management System</w:t>
      </w:r>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4D5AF64D">
            <wp:extent cx="5520906" cy="2398143"/>
            <wp:effectExtent l="0" t="0" r="3810" b="254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rotWithShape="1">
                    <a:blip r:embed="rId8" cstate="print">
                      <a:extLst>
                        <a:ext uri="{28A0092B-C50C-407E-A947-70E740481C1C}">
                          <a14:useLocalDpi xmlns:a14="http://schemas.microsoft.com/office/drawing/2010/main" val="0"/>
                        </a:ext>
                      </a:extLst>
                    </a:blip>
                    <a:srcRect r="3653" b="12659"/>
                    <a:stretch/>
                  </pic:blipFill>
                  <pic:spPr bwMode="auto">
                    <a:xfrm>
                      <a:off x="0" y="0"/>
                      <a:ext cx="5522129" cy="2398674"/>
                    </a:xfrm>
                    <a:prstGeom prst="rect">
                      <a:avLst/>
                    </a:prstGeom>
                    <a:ln>
                      <a:noFill/>
                    </a:ln>
                    <a:extLst>
                      <a:ext uri="{53640926-AAD7-44D8-BBD7-CCE9431645EC}">
                        <a14:shadowObscured xmlns:a14="http://schemas.microsoft.com/office/drawing/2010/main"/>
                      </a:ext>
                    </a:extLst>
                  </pic:spPr>
                </pic:pic>
              </a:graphicData>
            </a:graphic>
          </wp:inline>
        </w:drawing>
      </w:r>
    </w:p>
    <w:p w:rsidR="00F7600F" w:rsidRDefault="00F7600F" w:rsidP="00F7600F">
      <w:r>
        <w:t>Welcome to ACS - Your Premier Yard Management Solution Provider</w:t>
      </w:r>
    </w:p>
    <w:p w:rsidR="002A74DE" w:rsidRDefault="00F7600F" w:rsidP="00F7600F">
      <w:r>
        <w:t>At ACS, we specialize in providing innovative Yard Management System (YMS) solutions designed to help organizations optimize their yard operations, improve efficiency, and streamline logistics processes. With our advanced software and services, we empower businesses to maximize yard space utilization, reduce wait times, and enhance overall operational visibility.</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t xml:space="preserve">- </w:t>
      </w:r>
      <w:r w:rsidR="0039396A" w:rsidRPr="0039396A">
        <w:rPr>
          <w:rStyle w:val="Heading2Char"/>
          <w:sz w:val="26"/>
        </w:rPr>
        <w:t>Yard Layout Optimization</w:t>
      </w:r>
      <w:r w:rsidRPr="002840E8">
        <w:rPr>
          <w:rStyle w:val="Heading2Char"/>
        </w:rPr>
        <w:t>:</w:t>
      </w:r>
      <w:r>
        <w:rPr>
          <w:rStyle w:val="Heading2Char"/>
        </w:rPr>
        <w:t xml:space="preserve"> </w:t>
      </w:r>
      <w:r w:rsidR="0039396A" w:rsidRPr="0039396A">
        <w:t>Our YMS helps optimize yard layout and space utilization to maximize efficiency and throughput. You can define yard zones, allocate parking spots, and organize trailers and containers to minimize congestion and improve yard operations</w:t>
      </w:r>
      <w:r w:rsidR="00F7600F" w:rsidRPr="00F7600F">
        <w:t>.</w:t>
      </w:r>
    </w:p>
    <w:p w:rsidR="002840E8" w:rsidRDefault="002840E8" w:rsidP="002840E8"/>
    <w:p w:rsidR="002840E8" w:rsidRDefault="002840E8" w:rsidP="002840E8">
      <w:r>
        <w:t xml:space="preserve">- </w:t>
      </w:r>
      <w:r w:rsidR="00F7600F" w:rsidRPr="00F7600F">
        <w:rPr>
          <w:rStyle w:val="Heading2Char"/>
          <w:sz w:val="26"/>
        </w:rPr>
        <w:t>Gate Management</w:t>
      </w:r>
      <w:r w:rsidRPr="002840E8">
        <w:rPr>
          <w:rStyle w:val="Heading2Char"/>
        </w:rPr>
        <w:t>:</w:t>
      </w:r>
      <w:r>
        <w:rPr>
          <w:rStyle w:val="Heading2Char"/>
        </w:rPr>
        <w:t xml:space="preserve"> </w:t>
      </w:r>
      <w:r w:rsidR="0039396A" w:rsidRPr="0039396A">
        <w:t>Our system streamlines gate operations by automating check-in and check-out processes for trucks, trailers, and containers. You can manage appointments, assign dock doors, and track arrivals and departures in real-time to minimize wait times and improve yard throughput</w:t>
      </w:r>
      <w:r w:rsidR="00F7600F" w:rsidRPr="00F7600F">
        <w:t>.</w:t>
      </w:r>
    </w:p>
    <w:p w:rsidR="002840E8" w:rsidRPr="002840E8" w:rsidRDefault="002840E8" w:rsidP="002840E8"/>
    <w:p w:rsidR="002A74DE" w:rsidRDefault="002A74DE" w:rsidP="002A74DE">
      <w:r>
        <w:t xml:space="preserve">- </w:t>
      </w:r>
      <w:r w:rsidR="0039396A" w:rsidRPr="0039396A">
        <w:rPr>
          <w:rStyle w:val="Heading3Char"/>
        </w:rPr>
        <w:t>Dock Scheduling and Appointment Management</w:t>
      </w:r>
      <w:r>
        <w:t xml:space="preserve">: </w:t>
      </w:r>
      <w:r w:rsidR="0039396A" w:rsidRPr="0039396A">
        <w:t>Our YMS allows you to schedule dock appointments and manage dock door assignments for inbound and outbound shipments. You can prioritize appointments, allocate resources, and optimize dock utilization to minimize bottlenecks and optimize workflow.</w:t>
      </w:r>
    </w:p>
    <w:p w:rsidR="002A74DE" w:rsidRDefault="002A74DE" w:rsidP="002A74DE"/>
    <w:p w:rsidR="002A74DE" w:rsidRDefault="002A74DE" w:rsidP="002A74DE">
      <w:r>
        <w:t xml:space="preserve">- </w:t>
      </w:r>
      <w:r w:rsidR="0039396A" w:rsidRPr="0039396A">
        <w:rPr>
          <w:rStyle w:val="Heading3Char"/>
        </w:rPr>
        <w:t>Trailer and Container Tracking</w:t>
      </w:r>
      <w:r>
        <w:t xml:space="preserve">: </w:t>
      </w:r>
      <w:r w:rsidR="0039396A" w:rsidRPr="0039396A">
        <w:t>Our system provides real-time tracking of trailers and containers within the yard, allowing you to monitor their location, status, and contents. You can track arrivals, departures, and movements, and maintain accurate inventory records to improve visibility and control.</w:t>
      </w:r>
    </w:p>
    <w:p w:rsidR="002A74DE" w:rsidRDefault="002A74DE" w:rsidP="002A74DE"/>
    <w:p w:rsidR="002A74DE" w:rsidRPr="00151182" w:rsidRDefault="002A74DE" w:rsidP="002A74DE">
      <w:pPr>
        <w:rPr>
          <w:b/>
          <w:bCs/>
          <w:color w:val="1F3864" w:themeColor="accent1" w:themeShade="80"/>
          <w:sz w:val="26"/>
          <w:szCs w:val="24"/>
          <w:lang w:val="en-US"/>
        </w:rPr>
      </w:pPr>
      <w:r>
        <w:t xml:space="preserve">- </w:t>
      </w:r>
      <w:r w:rsidR="0039396A" w:rsidRPr="0039396A">
        <w:rPr>
          <w:rStyle w:val="Heading2Char"/>
          <w:sz w:val="26"/>
          <w:lang w:val="en-US"/>
        </w:rPr>
        <w:t>Load Planning and Optimization</w:t>
      </w:r>
      <w:r>
        <w:t xml:space="preserve">: </w:t>
      </w:r>
      <w:r w:rsidR="0039396A" w:rsidRPr="0039396A">
        <w:t>Our YMS helps optimize load planning and trailer utilization to maximize capacity and minimize transportation costs. You can consolidate shipments, optimize loading sequences, and minimize empty miles to improve asset utilization and reduce fuel consumption.</w:t>
      </w:r>
    </w:p>
    <w:p w:rsidR="002A74DE" w:rsidRDefault="002A74DE" w:rsidP="002A74DE"/>
    <w:p w:rsidR="002A74DE" w:rsidRDefault="002A74DE" w:rsidP="002A74DE">
      <w:r>
        <w:t xml:space="preserve">- </w:t>
      </w:r>
      <w:r w:rsidR="0039396A" w:rsidRPr="0039396A">
        <w:rPr>
          <w:rStyle w:val="Heading3Char"/>
        </w:rPr>
        <w:t>Yard Inventory Management</w:t>
      </w:r>
      <w:r>
        <w:t xml:space="preserve">: </w:t>
      </w:r>
      <w:r w:rsidR="0039396A" w:rsidRPr="0039396A">
        <w:t>Our system provides visibility into yard inventory levels and helps you manage yard assets such as trailers, containers, and equipment. You can track inventory movements, monitor storage capacity, and generate reports to optimize inventory levels and minimize stockouts.</w:t>
      </w:r>
    </w:p>
    <w:p w:rsidR="0039396A" w:rsidRDefault="0039396A" w:rsidP="002A74DE"/>
    <w:p w:rsidR="0039396A" w:rsidRDefault="0039396A" w:rsidP="002A74DE">
      <w:r>
        <w:t xml:space="preserve">- </w:t>
      </w:r>
      <w:r w:rsidRPr="0039396A">
        <w:rPr>
          <w:rStyle w:val="Heading3Char"/>
        </w:rPr>
        <w:t>Yard Analytics and Reporting</w:t>
      </w:r>
      <w:r>
        <w:t xml:space="preserve">: </w:t>
      </w:r>
      <w:r w:rsidRPr="0039396A">
        <w:t>Our system provides analytics and reporting tools to track key performance indicators (KPIs), monitor yard performance, and identify areas for improvement. You can generate customizable reports, visualize data, and gain insights to optimize yard operations and drive continuous improvement</w:t>
      </w:r>
      <w:r>
        <w:t>.</w:t>
      </w:r>
    </w:p>
    <w:p w:rsidR="0039396A" w:rsidRDefault="0039396A" w:rsidP="002A74DE"/>
    <w:p w:rsidR="0039396A" w:rsidRDefault="0039396A" w:rsidP="002A74DE">
      <w:r>
        <w:t xml:space="preserve">- </w:t>
      </w:r>
      <w:r w:rsidRPr="0039396A">
        <w:rPr>
          <w:rStyle w:val="Heading3Char"/>
        </w:rPr>
        <w:t>Integration with Supply Chain Systems</w:t>
      </w:r>
      <w:r>
        <w:t xml:space="preserve">: </w:t>
      </w:r>
      <w:r w:rsidRPr="0039396A">
        <w:t>Our YMS integrates seamlessly with other supply chain systems such as TMS, WMS, and ERP systems. This allows you to synchronize yard data, streamline workflows, and improve data accuracy across the supply chain.</w:t>
      </w:r>
    </w:p>
    <w:p w:rsidR="0039396A" w:rsidRDefault="0039396A" w:rsidP="002A74DE"/>
    <w:p w:rsidR="002A74DE" w:rsidRDefault="0039396A" w:rsidP="002A74DE">
      <w:r w:rsidRPr="0039396A">
        <w:t>These are just some of the key solutions provided by our Yard Management System. Contact us to learn more about how our system can help you optimize yard operations, improve efficiency, and reduce costs.</w:t>
      </w:r>
    </w:p>
    <w:p w:rsidR="00151182" w:rsidRDefault="00151182"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151182" w:rsidRPr="00151182">
        <w:t>With years of experience in the industry, we understand the unique challenges and requirements of yard management. Our team of experts works closely with you to understand your business needs and provide customized solutions that deliver tangible results.</w:t>
      </w:r>
    </w:p>
    <w:p w:rsidR="002A74DE" w:rsidRDefault="002A74DE" w:rsidP="002A74DE"/>
    <w:p w:rsidR="002A74DE" w:rsidRDefault="002A74DE" w:rsidP="002A74DE">
      <w:r>
        <w:t xml:space="preserve">- </w:t>
      </w:r>
      <w:r w:rsidRPr="002840E8">
        <w:rPr>
          <w:rStyle w:val="Heading3Char"/>
        </w:rPr>
        <w:t>Scalable Solutions</w:t>
      </w:r>
      <w:r>
        <w:t xml:space="preserve">: </w:t>
      </w:r>
      <w:r w:rsidR="00151182" w:rsidRPr="00151182">
        <w:t>Whether you're a small distribution centr</w:t>
      </w:r>
      <w:r w:rsidR="0039396A">
        <w:t>e</w:t>
      </w:r>
      <w:r w:rsidR="00151182" w:rsidRPr="00151182">
        <w:t xml:space="preserve"> or a large manufacturing facility, our YMS solutions are designed to scale with your business. Our flexible and scalable architecture allows you to add new features, modules, and users as your business grows, ensuring that your YMS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151182" w:rsidRPr="00151182">
        <w:t>Built on the latest technology platforms, our YMS solutions offer robust features, reliability, and performance. Our cloud-based solutions provide anytime, anywhere access to your yard data, enabling you to manage your operations more effectively and efficiently.</w:t>
      </w:r>
    </w:p>
    <w:p w:rsidR="002A74DE" w:rsidRDefault="002A74DE" w:rsidP="002A74DE"/>
    <w:p w:rsidR="002A74DE" w:rsidRDefault="002A74DE" w:rsidP="002A74DE">
      <w:r>
        <w:t xml:space="preserve">- </w:t>
      </w:r>
      <w:r w:rsidRPr="002840E8">
        <w:rPr>
          <w:rStyle w:val="Heading3Char"/>
        </w:rPr>
        <w:t>Customer Support</w:t>
      </w:r>
      <w:r>
        <w:t xml:space="preserve">: </w:t>
      </w:r>
      <w:r w:rsidR="00151182" w:rsidRPr="00151182">
        <w:t xml:space="preserve">At </w:t>
      </w:r>
      <w:r w:rsidR="00151182">
        <w:t>ACS</w:t>
      </w:r>
      <w:r w:rsidR="00151182" w:rsidRPr="00151182">
        <w:t>, we're committed to providing exceptional customer support and service. Our dedicated team of support professionals is available to assist you with implementation, training, troubleshooting, and ongoing support to ensure that you get the most out of your YMS investment.</w:t>
      </w:r>
    </w:p>
    <w:p w:rsidR="002A74DE" w:rsidRDefault="002A74DE" w:rsidP="002A74DE"/>
    <w:p w:rsidR="002A74DE" w:rsidRDefault="002A74DE" w:rsidP="002A74DE">
      <w:r>
        <w:t>Get Started Today</w:t>
      </w:r>
    </w:p>
    <w:p w:rsidR="009443AF" w:rsidRDefault="00151182" w:rsidP="002A74DE">
      <w:r w:rsidRPr="00151182">
        <w:t>Ready to optimize your yard operations and streamline logistics processes? Contact us today to schedule a demo and see how our Yard Management System (YMS) solutions can help you maximize efficiency, minimize costs, and drive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4CDF" w:rsidRDefault="00584CDF">
      <w:pPr>
        <w:spacing w:line="240" w:lineRule="auto"/>
      </w:pPr>
      <w:r>
        <w:separator/>
      </w:r>
    </w:p>
  </w:endnote>
  <w:endnote w:type="continuationSeparator" w:id="0">
    <w:p w:rsidR="00584CDF" w:rsidRDefault="00584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4CDF" w:rsidRDefault="00584CDF">
      <w:pPr>
        <w:spacing w:after="0"/>
      </w:pPr>
      <w:r>
        <w:separator/>
      </w:r>
    </w:p>
  </w:footnote>
  <w:footnote w:type="continuationSeparator" w:id="0">
    <w:p w:rsidR="00584CDF" w:rsidRDefault="00584C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51182"/>
    <w:rsid w:val="00177ACB"/>
    <w:rsid w:val="0019312F"/>
    <w:rsid w:val="001B5CB7"/>
    <w:rsid w:val="001C026F"/>
    <w:rsid w:val="001C6D56"/>
    <w:rsid w:val="00254E3F"/>
    <w:rsid w:val="002840E8"/>
    <w:rsid w:val="0028458F"/>
    <w:rsid w:val="002A74DE"/>
    <w:rsid w:val="00334703"/>
    <w:rsid w:val="00354216"/>
    <w:rsid w:val="0039396A"/>
    <w:rsid w:val="0039482B"/>
    <w:rsid w:val="003A2A28"/>
    <w:rsid w:val="003D362B"/>
    <w:rsid w:val="00453188"/>
    <w:rsid w:val="004D2A6A"/>
    <w:rsid w:val="005141C2"/>
    <w:rsid w:val="00547459"/>
    <w:rsid w:val="00584CDF"/>
    <w:rsid w:val="00587BB2"/>
    <w:rsid w:val="00590256"/>
    <w:rsid w:val="005B0EA7"/>
    <w:rsid w:val="00617115"/>
    <w:rsid w:val="00625AAE"/>
    <w:rsid w:val="00646AB8"/>
    <w:rsid w:val="00673300"/>
    <w:rsid w:val="007523B6"/>
    <w:rsid w:val="00811105"/>
    <w:rsid w:val="008141A4"/>
    <w:rsid w:val="008304FC"/>
    <w:rsid w:val="00865007"/>
    <w:rsid w:val="008F49BD"/>
    <w:rsid w:val="009209B9"/>
    <w:rsid w:val="009443AF"/>
    <w:rsid w:val="009732B3"/>
    <w:rsid w:val="00A925ED"/>
    <w:rsid w:val="00B13DDA"/>
    <w:rsid w:val="00B220CB"/>
    <w:rsid w:val="00B37699"/>
    <w:rsid w:val="00C0138D"/>
    <w:rsid w:val="00C23C5E"/>
    <w:rsid w:val="00C75521"/>
    <w:rsid w:val="00D032DF"/>
    <w:rsid w:val="00E24751"/>
    <w:rsid w:val="00E82297"/>
    <w:rsid w:val="00ED5C5D"/>
    <w:rsid w:val="00F30DFC"/>
    <w:rsid w:val="00F7600F"/>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9F5396"/>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2799">
      <w:bodyDiv w:val="1"/>
      <w:marLeft w:val="0"/>
      <w:marRight w:val="0"/>
      <w:marTop w:val="0"/>
      <w:marBottom w:val="0"/>
      <w:divBdr>
        <w:top w:val="none" w:sz="0" w:space="0" w:color="auto"/>
        <w:left w:val="none" w:sz="0" w:space="0" w:color="auto"/>
        <w:bottom w:val="none" w:sz="0" w:space="0" w:color="auto"/>
        <w:right w:val="none" w:sz="0" w:space="0" w:color="auto"/>
      </w:divBdr>
    </w:div>
    <w:div w:id="797336079">
      <w:bodyDiv w:val="1"/>
      <w:marLeft w:val="0"/>
      <w:marRight w:val="0"/>
      <w:marTop w:val="0"/>
      <w:marBottom w:val="0"/>
      <w:divBdr>
        <w:top w:val="none" w:sz="0" w:space="0" w:color="auto"/>
        <w:left w:val="none" w:sz="0" w:space="0" w:color="auto"/>
        <w:bottom w:val="none" w:sz="0" w:space="0" w:color="auto"/>
        <w:right w:val="none" w:sz="0" w:space="0" w:color="auto"/>
      </w:divBdr>
    </w:div>
    <w:div w:id="1108230993">
      <w:bodyDiv w:val="1"/>
      <w:marLeft w:val="0"/>
      <w:marRight w:val="0"/>
      <w:marTop w:val="0"/>
      <w:marBottom w:val="0"/>
      <w:divBdr>
        <w:top w:val="none" w:sz="0" w:space="0" w:color="auto"/>
        <w:left w:val="none" w:sz="0" w:space="0" w:color="auto"/>
        <w:bottom w:val="none" w:sz="0" w:space="0" w:color="auto"/>
        <w:right w:val="none" w:sz="0" w:space="0" w:color="auto"/>
      </w:divBdr>
    </w:div>
    <w:div w:id="143027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11</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3</cp:revision>
  <dcterms:created xsi:type="dcterms:W3CDTF">2024-03-04T10:57:00Z</dcterms:created>
  <dcterms:modified xsi:type="dcterms:W3CDTF">2024-03-07T06:46:00Z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