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Calibri" w:cs="Calibri" w:eastAsia="Calibri" w:hAnsi="Calibri"/>
          <w:b/>
          <w:bCs/>
          <w:color w:val="1C5D99"/>
          <w:sz w:val="58"/>
          <w:szCs w:val="58"/>
        </w:rPr>
        <w:t xml:space="preserve">HOSTING AI AGENTS</w:t>
      </w:r>
    </w:p>
    <w:p>
      <w:pPr>
        <w:spacing w:after="240"/>
      </w:pPr>
      <w:r>
        <w:rPr>
          <w:rFonts w:ascii="Calibri" w:cs="Calibri" w:eastAsia="Calibri" w:hAnsi="Calibri"/>
          <w:color w:val="1F2933"/>
          <w:sz w:val="34"/>
          <w:szCs w:val="34"/>
        </w:rPr>
        <w:t xml:space="preserve">A Comprehensive Options &amp; Cost Reference</w:t>
      </w:r>
    </w:p>
    <w:p>
      <w:pPr>
        <w:pBdr>
          <w:bottom w:val="single" w:color="2A7F62" w:sz="10"/>
        </w:pBdr>
        <w:spacing w:after="24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An architect's playbook for taking any locally-proven agent to 24/7 production — all hosting options on the table, cost in USD (tooling &amp; access only).</w:t>
      </w:r>
    </w:p>
    <w:p>
      <w:pPr>
        <w:spacing w:after="4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C5D99"/>
          <w:sz w:val="22"/>
          <w:szCs w:val="22"/>
        </w:rPr>
        <w:t xml:space="preserve">Scope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Vendor-neutral: managed platforms, LLM-vendor runtimes, code-plus-framework, low-code/OSS, and fully self-hosted.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A reusable decision framework so any new agent idea can be scoped for options, cost, speed, guardrails, feasibility, HITL, LLM choice, platform, and handover.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Applied to the four candidate agents, plus a template for general-purpose ideas.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Costs shown as illustrative USD list prices for tools and access. Human/labour cost and multi-year projections are deliberately excluded, per the brief.</w:t>
      </w:r>
    </w:p>
    <w:p>
      <w:pPr>
        <w:spacing w:after="500"/>
      </w:pPr>
    </w:p>
    <w:p>
      <w:r>
        <w:rPr>
          <w:rFonts w:ascii="Calibri" w:cs="Calibri" w:eastAsia="Calibri" w:hAnsi="Calibri"/>
          <w:color w:val="6B7280"/>
          <w:sz w:val="18"/>
          <w:szCs w:val="18"/>
        </w:rPr>
        <w:t xml:space="preserve">Prepared for review • August 2026 • v1.0 (draft)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5D99"/>
          <w:sz w:val="30"/>
          <w:szCs w:val="30"/>
        </w:rPr>
        <w:t xml:space="preserve">Contents</w:t>
      </w:r>
    </w:p>
    <w:p>
      <w:pPr>
        <w:spacing w:after="80" w:line="288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1.  How to use this document</w:t>
      </w:r>
    </w:p>
    <w:p>
      <w:pPr>
        <w:spacing w:after="80" w:line="288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2.  What “hosting an agent” actually means</w:t>
      </w:r>
    </w:p>
    <w:p>
      <w:pPr>
        <w:spacing w:after="80" w:line="288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3.  The decision framework (the ten lenses)</w:t>
      </w:r>
    </w:p>
    <w:p>
      <w:pPr>
        <w:spacing w:after="80" w:line="288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4.  The full hosting landscape (all options)</w:t>
      </w:r>
    </w:p>
    <w:p>
      <w:pPr>
        <w:spacing w:after="80" w:line="288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5.  Use-case-based LLM selection</w:t>
      </w:r>
    </w:p>
    <w:p>
      <w:pPr>
        <w:spacing w:after="80" w:line="288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6.  The cost model (USD, tooling &amp; access only)</w:t>
      </w:r>
    </w:p>
    <w:p>
      <w:pPr>
        <w:spacing w:after="80" w:line="288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7.  Guardrails &amp; governance</w:t>
      </w:r>
    </w:p>
    <w:p>
      <w:pPr>
        <w:spacing w:after="80" w:line="288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8.  Human-in-the-loop &amp; orchestration (incl. can Claude orchestrate?)</w:t>
      </w:r>
    </w:p>
    <w:p>
      <w:pPr>
        <w:spacing w:after="80" w:line="288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9.  The four agents, scored</w:t>
      </w:r>
    </w:p>
    <w:p>
      <w:pPr>
        <w:spacing w:after="80" w:line="288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10. The general-purpose case: an intake scorecard</w:t>
      </w:r>
    </w:p>
    <w:p>
      <w:pPr>
        <w:spacing w:after="80" w:line="288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11. Fresh idea: the Agent Landing Zone + a supervisor agent</w:t>
      </w:r>
    </w:p>
    <w:p>
      <w:pPr>
        <w:spacing w:after="80" w:line="288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12. KT base &amp; documentation handover</w:t>
      </w:r>
    </w:p>
    <w:p>
      <w:pPr>
        <w:spacing w:after="80" w:line="288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Appendix A.  Pricing snapshot &amp; sources</w:t>
      </w:r>
    </w:p>
    <w:p>
      <w:pPr>
        <w:spacing w:after="80" w:line="288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Appendix B.  Glossary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5D99"/>
          <w:sz w:val="30"/>
          <w:szCs w:val="30"/>
        </w:rPr>
        <w:t xml:space="preserve">1. How to use this document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goal is simple: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when anyone proposes an agent, you should be able to give an educated view of the options and the money in minutes, not weeks.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To do that, the document does three things in order.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Gives you a mental model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(Section 2) that breaks any agent into layers, because cost and risk live in the layers, not in the idea.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Gives you a decision framework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(Section 3) — the ten lenses from the brief turned into a repeatable scorecard.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Lays out every hosting option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(Sections 4–8) with real USD prices, then applies it all to your four agents and a general case (Sections 9–10).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Section 11 is the fresh idea: an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Agent Landing Zone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plus a new agent concept that ties the existing four together. Section 12 is the handover checklist.</w:t>
      </w:r>
    </w:p>
    <w:tbl>
      <w:tblPr>
        <w:tblW w:type="dxa" w:w="9360"/>
        <w:tblBorders>
          <w:top w:val="single" w:color="1C5D99" w:sz="2"/>
          <w:left w:val="single" w:color="1C5D99" w:sz="18"/>
          <w:bottom w:val="single" w:color="1C5D99" w:sz="2"/>
          <w:right w:val="single" w:color="1C5D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C5D99"/>
                <w:sz w:val="21"/>
                <w:szCs w:val="21"/>
              </w:rPr>
              <w:t xml:space="preserve">Two things this document intentionally leaves open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Target environment (Azure / AWS / on-prem-VMware / hybrid) and the permitted-LLM / data-residency policy for financial data are the two inputs that most change the answer. They are called out as scorecard inputs rather than assumed.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Prices are list prices captured in August 2026 and move often. Treat every figure as a planning estimate to confirm at procurement, not a quote.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5D99"/>
          <w:sz w:val="30"/>
          <w:szCs w:val="30"/>
        </w:rPr>
        <w:t xml:space="preserve">2. What “hosting an agent” actually means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An agent is not one thing you host — it is a stack of layers, each bought or built separately. The brief's assumption (“proven locally, goal is hosting”) means the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reasoning already works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; what remains is standing up the other layers for 24/7, resilient, governed operation. Price and risk both concentrate in specific layers, so naming them is the whole game.</w:t>
      </w:r>
    </w:p>
    <w:tbl>
      <w:tblPr>
        <w:tblW w:type="dxa" w:w="9360"/>
        <w:tblBorders>
          <w:top w:val="single" w:color="C7D2DD" w:sz="3"/>
          <w:left w:val="single" w:color="C7D2DD" w:sz="3"/>
          <w:bottom w:val="single" w:color="C7D2DD" w:sz="3"/>
          <w:right w:val="single" w:color="C7D2DD" w:sz="3"/>
          <w:insideH w:val="single" w:color="C7D2DD" w:sz="3"/>
          <w:insideV w:val="single" w:color="C7D2DD" w:sz="3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0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86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the money / risk sits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1. Interface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How people (or systems) invoke the agent — web UI, Teams tab, chatbot, API, scheduled job.</w:t>
            </w:r>
          </w:p>
        </w:tc>
        <w:tc>
          <w:tcPr>
            <w:tcW w:type="dxa" w:w="2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Usually cheap. Risk = access control.</w:t>
            </w:r>
          </w:p>
        </w:tc>
      </w:tr>
      <w:tr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2. Orchestration / runtime</w:t>
            </w:r>
          </w:p>
        </w:tc>
        <w:tc>
          <w:tcPr>
            <w:tcW w:type="dxa" w:w="40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agent loop: plan → call tool → observe → repeat. Managed platform or your own framework.</w:t>
            </w:r>
          </w:p>
        </w:tc>
        <w:tc>
          <w:tcPr>
            <w:tcW w:type="dxa" w:w="28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Platform fees or your compute + engineering.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3. Reasoning (LLM)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model that thinks. Frontier, balanced, economy, or self-hosted open weights.</w:t>
            </w:r>
          </w:p>
        </w:tc>
        <w:tc>
          <w:tcPr>
            <w:tcW w:type="dxa" w:w="2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Often the largest variable cost. Token-metered.</w:t>
            </w:r>
          </w:p>
        </w:tc>
      </w:tr>
      <w:tr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4. Knowledge / retrieval</w:t>
            </w:r>
          </w:p>
        </w:tc>
        <w:tc>
          <w:tcPr>
            <w:tcW w:type="dxa" w:w="40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RAG over documents, DBs, SharePoint; embeddings + a vector store.</w:t>
            </w:r>
          </w:p>
        </w:tc>
        <w:tc>
          <w:tcPr>
            <w:tcW w:type="dxa" w:w="28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Vector DB + embedding tokens + storage.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5. Tools / connectors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Actions: DB queries, API calls, Excel/PDF, SharePoint, email.</w:t>
            </w:r>
          </w:p>
        </w:tc>
        <w:tc>
          <w:tcPr>
            <w:tcW w:type="dxa" w:w="2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Connector licences; API access fees.</w:t>
            </w:r>
          </w:p>
        </w:tc>
      </w:tr>
      <w:tr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6. Compute host</w:t>
            </w:r>
          </w:p>
        </w:tc>
        <w:tc>
          <w:tcPr>
            <w:tcW w:type="dxa" w:w="40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Where the runtime executes: serverless, containers, Kubernetes, VM, on-prem.</w:t>
            </w:r>
          </w:p>
        </w:tc>
        <w:tc>
          <w:tcPr>
            <w:tcW w:type="dxa" w:w="28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Recurring infra. Scale-to-zero vs always-on.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7. Cross-cutting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Identity, guardrails, secrets, logging, observability, evaluation.</w:t>
            </w:r>
          </w:p>
        </w:tc>
        <w:tc>
          <w:tcPr>
            <w:tcW w:type="dxa" w:w="2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Small individually; mandatory for production.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2A7F62" w:sz="2"/>
          <w:left w:val="single" w:color="2A7F62" w:sz="18"/>
          <w:bottom w:val="single" w:color="2A7F62" w:sz="2"/>
          <w:right w:val="single" w:color="2A7F6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A7F62"/>
                <w:sz w:val="21"/>
                <w:szCs w:val="21"/>
              </w:rPr>
              <w:t xml:space="preserve">The one-line takeaway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You do not choose “where to host the agent.” You make seven smaller choices — and the cheapest, fastest, safest answer is usually a different mix for each layer. The rest of this document is how to make those seven choices deliberately.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5D99"/>
          <w:sz w:val="30"/>
          <w:szCs w:val="30"/>
        </w:rPr>
        <w:t xml:space="preserve">3. The decision framework (the ten lenses)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Every idea gets scored through the same ten lenses from the brief. Run top to bottom; the first three usually decide the platform, the rest tune it.</w:t>
      </w:r>
    </w:p>
    <w:tbl>
      <w:tblPr>
        <w:tblW w:type="dxa" w:w="9360"/>
        <w:tblBorders>
          <w:top w:val="single" w:color="C7D2DD" w:sz="3"/>
          <w:left w:val="single" w:color="C7D2DD" w:sz="3"/>
          <w:bottom w:val="single" w:color="C7D2DD" w:sz="3"/>
          <w:right w:val="single" w:color="C7D2DD" w:sz="3"/>
          <w:insideH w:val="single" w:color="C7D2DD" w:sz="3"/>
          <w:insideV w:val="single" w:color="C7D2DD" w:sz="3"/>
        </w:tblBorders>
      </w:tblPr>
      <w:tblGrid>
        <w:gridCol w:w="2500"/>
        <w:gridCol w:w="3600"/>
        <w:gridCol w:w="3260"/>
      </w:tblGrid>
      <w:tr>
        <w:trPr>
          <w:tblHeader/>
        </w:trPr>
        <w:tc>
          <w:tcPr>
            <w:tcW w:type="dxa" w:w="25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Lens</w:t>
            </w:r>
          </w:p>
        </w:tc>
        <w:tc>
          <w:tcPr>
            <w:tcW w:type="dxa" w:w="36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 question to answer</w:t>
            </w:r>
          </w:p>
        </w:tc>
        <w:tc>
          <w:tcPr>
            <w:tcW w:type="dxa" w:w="326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“good” looks like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1. Options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Which of the five archetypes (§4) can host this at all?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2–3 viable, not 1; you kept the aperture wide.</w:t>
            </w:r>
          </w:p>
        </w:tc>
      </w:tr>
      <w:tr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2. Cost</w:t>
            </w:r>
          </w:p>
        </w:tc>
        <w:tc>
          <w:tcPr>
            <w:tcW w:type="dxa" w:w="36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Monthly tooling + access cost at expected volume.</w:t>
            </w:r>
          </w:p>
        </w:tc>
        <w:tc>
          <w:tcPr>
            <w:tcW w:type="dxa" w:w="32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 best-case and a cost-efficient band, both in USD.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3. Speed of deployment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Days to production once approved.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Managed = days; custom = weeks. Match to urgency.</w:t>
            </w:r>
          </w:p>
        </w:tc>
      </w:tr>
      <w:tr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4. Guardrails</w:t>
            </w:r>
          </w:p>
        </w:tc>
        <w:tc>
          <w:tcPr>
            <w:tcW w:type="dxa" w:w="36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What must never happen (data leakage, wrong action)?</w:t>
            </w:r>
          </w:p>
        </w:tc>
        <w:tc>
          <w:tcPr>
            <w:tcW w:type="dxa" w:w="32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Input/output filtering, allow-listed tools, audit log.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5. Efficiency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Right-sized model + scale-to-zero + caching.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Cheapest model that passes eval; idle cost near zero.</w:t>
            </w:r>
          </w:p>
        </w:tc>
      </w:tr>
      <w:tr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6. Feasibility</w:t>
            </w:r>
          </w:p>
        </w:tc>
        <w:tc>
          <w:tcPr>
            <w:tcW w:type="dxa" w:w="36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Do the connectors, data access, and network exist?</w:t>
            </w:r>
          </w:p>
        </w:tc>
        <w:tc>
          <w:tcPr>
            <w:tcW w:type="dxa" w:w="32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No blocked dependency; a clear path to each source.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7. Human-in-the-loop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Where must a person approve or review?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Approval gates on any write/irreversible action.</w:t>
            </w:r>
          </w:p>
        </w:tc>
      </w:tr>
      <w:tr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8. LLM selection</w:t>
            </w:r>
          </w:p>
        </w:tc>
        <w:tc>
          <w:tcPr>
            <w:tcW w:type="dxa" w:w="36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Which model tier fits the task and the data policy?</w:t>
            </w:r>
          </w:p>
        </w:tc>
        <w:tc>
          <w:tcPr>
            <w:tcW w:type="dxa" w:w="32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Task-matched tier; data-policy-compliant hosting.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9. Platform + orchestrator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Managed platform or framework? Can Claude orchestrate?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 named runtime; orchestrator decided (see §8).</w:t>
            </w:r>
          </w:p>
        </w:tc>
      </w:tr>
      <w:tr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10. KT / handover</w:t>
            </w:r>
          </w:p>
        </w:tc>
        <w:tc>
          <w:tcPr>
            <w:tcW w:type="dxa" w:w="36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Can someone else run it next quarter?</w:t>
            </w:r>
          </w:p>
        </w:tc>
        <w:tc>
          <w:tcPr>
            <w:tcW w:type="dxa" w:w="32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Runbook, diagram, eval set, cost owner (see §12).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Scoring output.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For each idea, the scorecard produces two named builds —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Best case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(most efficient / highest quality) and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Moderate case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(cost-efficient) — each with a monthly USD band. That is exactly the “Case 1 / Case 2” the brief asks for, and it is the reusable artefact for future ideas.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5D99"/>
          <w:sz w:val="30"/>
          <w:szCs w:val="30"/>
        </w:rPr>
        <w:t xml:space="preserve">4. The full hosting landscape (all options)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Deliberately wide, from “buy it running” to “build it on metal you own.” Every real deployment is a point on this spectrum. Move left for speed and low ops; move right for control, privacy, and lower per-unit cost at scale.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A. First-party managed agent platforms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cloud/SaaS vendors host the runtime; you configure. Fastest to production, strongest native governance, least control over internals.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Microsoft Copilot Studio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low-code, deep Microsoft 365 / SharePoint / Teams integration. Ideal for chat-over-documents like the HR agent.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Azure AI Foundry Agent Service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code-first managed runtime; reaches Outlook/Teams/SharePoint; pairs with Semantic Kernel; the Agent365 layer governs the estate.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AWS Bedrock AgentCore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model-flexible managed runtime with per-second billing and strong zero-trust / VPC isolation; Strands SDK.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Google Vertex AI Agents &amp; Salesforce Agentforce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equivalents if your data gravity is GCP or Salesforce.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B. LLM-vendor agent runtimes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model provider gives you an agent scaffold (tool use, memory, sub-agents) so you write orchestration logic, not infrastructure.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Anthropic Claude Agent SDK / tool use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Claude plans, calls your tools, and coordinates sub-agents; optional managed-agent runtime (session-metered). See §8 on Claude as orchestrator.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OpenAI Assistants / Agents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hosted tools, file search, and function calling around the GPT models.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C. Framework + your own compute (“golden path”)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You own the orchestration code and the host. Most control and portability; you operate it. This is where an internal standard pays off (§11).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Frameworks: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LangGraph / LangChain, Microsoft Semantic Kernel, CrewAI, AutoGen, Google ADK.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Hosts: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Azure Functions (event/scheduled), Azure Container Apps (scale-to-zero HTTP), AWS Fargate/Cloud Run, or AKS/EKS/GKE when you truly need Kubernetes.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D. Low-code / open-source agent builders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Visual builders that split the difference — faster than code, more control than first-party SaaS, self-hostable.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n8n, Dify, Flowise, Langflow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— self-host on your own container; license is free/OSS, you pay compute + model tokens. Good for the SOP-generator and PDF-reconciliation style pipelines.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E. Fully self-hosted / air-gapped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Open-weight models on infrastructure you control — including your existing VMware capacity or on-prem GPUs. Highest privacy (no data leaves the network), highest ops burden, capex-heavy.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Models: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Llama, Mistral, Qwen, Microsoft Phi served via vLLM / Ollama / TGI.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When it wins: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strict data-residency for the financial-reporting and reconciliation agents, or high sustained volume where per-token API cost would dominate.</w:t>
      </w:r>
    </w:p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Archetype comparison</w:t>
      </w:r>
    </w:p>
    <w:tbl>
      <w:tblPr>
        <w:tblW w:type="dxa" w:w="9360"/>
        <w:tblBorders>
          <w:top w:val="single" w:color="C7D2DD" w:sz="3"/>
          <w:left w:val="single" w:color="C7D2DD" w:sz="3"/>
          <w:bottom w:val="single" w:color="C7D2DD" w:sz="3"/>
          <w:right w:val="single" w:color="C7D2DD" w:sz="3"/>
          <w:insideH w:val="single" w:color="C7D2DD" w:sz="3"/>
          <w:insideV w:val="single" w:color="C7D2DD" w:sz="3"/>
        </w:tblBorders>
      </w:tblPr>
      <w:tblGrid>
        <w:gridCol w:w="1900"/>
        <w:gridCol w:w="2500"/>
        <w:gridCol w:w="2100"/>
        <w:gridCol w:w="2860"/>
      </w:tblGrid>
      <w:tr>
        <w:trPr>
          <w:tblHeader/>
        </w:trPr>
        <w:tc>
          <w:tcPr>
            <w:tcW w:type="dxa" w:w="19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Archetype</w:t>
            </w:r>
          </w:p>
        </w:tc>
        <w:tc>
          <w:tcPr>
            <w:tcW w:type="dxa" w:w="25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21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Speed vs control</w:t>
            </w:r>
          </w:p>
        </w:tc>
        <w:tc>
          <w:tcPr>
            <w:tcW w:type="dxa" w:w="286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money goes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A. Managed platform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Copilot Studio, Foundry Agent Service, Bedrock AgentCore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Fastest / least control</w:t>
            </w:r>
          </w:p>
        </w:tc>
        <w:tc>
          <w:tcPr>
            <w:tcW w:type="dxa" w:w="2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Platform message/credit fees + model tokens</w:t>
            </w:r>
          </w:p>
        </w:tc>
      </w:tr>
      <w:tr>
        <w:tc>
          <w:tcPr>
            <w:tcW w:type="dxa" w:w="19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B. LLM-vendor runtime</w:t>
            </w:r>
          </w:p>
        </w:tc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Claude Agent SDK, OpenAI Agents</w:t>
            </w:r>
          </w:p>
        </w:tc>
        <w:tc>
          <w:tcPr>
            <w:tcW w:type="dxa" w:w="21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Fast / medium control</w:t>
            </w:r>
          </w:p>
        </w:tc>
        <w:tc>
          <w:tcPr>
            <w:tcW w:type="dxa" w:w="28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Model tokens (+ session runtime fee if managed)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C. Framework + compute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LangGraph, Semantic Kernel on Container Apps/AKS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Medium / high control</w:t>
            </w:r>
          </w:p>
        </w:tc>
        <w:tc>
          <w:tcPr>
            <w:tcW w:type="dxa" w:w="2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Your compute + model tokens + your ops</w:t>
            </w:r>
          </w:p>
        </w:tc>
      </w:tr>
      <w:tr>
        <w:tc>
          <w:tcPr>
            <w:tcW w:type="dxa" w:w="19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D. Low-code / OSS</w:t>
            </w:r>
          </w:p>
        </w:tc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n8n, Dify, Flowise</w:t>
            </w:r>
          </w:p>
        </w:tc>
        <w:tc>
          <w:tcPr>
            <w:tcW w:type="dxa" w:w="21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Medium / high control</w:t>
            </w:r>
          </w:p>
        </w:tc>
        <w:tc>
          <w:tcPr>
            <w:tcW w:type="dxa" w:w="28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Compute (self-host) + model tokens; free licence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E. Self-hosted models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Llama/Mistral/Qwen on VMware/GPU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Slowest / total control</w:t>
            </w:r>
          </w:p>
        </w:tc>
        <w:tc>
          <w:tcPr>
            <w:tcW w:type="dxa" w:w="2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GPU/VMware capex + ops; near-zero per-token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5D99"/>
          <w:sz w:val="30"/>
          <w:szCs w:val="30"/>
        </w:rPr>
        <w:t xml:space="preserve">5. Use-case-based LLM selection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Model choice is the single biggest efficiency lever. The rule: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use the cheapest tier that passes your evaluation set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and route — a cheap model for extraction/classification/routing, a stronger one only for hard reasoning.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model gateway / router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(LiteLLM, or the platform's own routing) makes this a config change, not a rewrite.</w:t>
      </w:r>
    </w:p>
    <w:tbl>
      <w:tblPr>
        <w:tblW w:type="dxa" w:w="9360"/>
        <w:tblBorders>
          <w:top w:val="single" w:color="C7D2DD" w:sz="3"/>
          <w:left w:val="single" w:color="C7D2DD" w:sz="3"/>
          <w:bottom w:val="single" w:color="C7D2DD" w:sz="3"/>
          <w:right w:val="single" w:color="C7D2DD" w:sz="3"/>
          <w:insideH w:val="single" w:color="C7D2DD" w:sz="3"/>
          <w:insideV w:val="single" w:color="C7D2DD" w:sz="3"/>
        </w:tblBorders>
      </w:tblPr>
      <w:tblGrid>
        <w:gridCol w:w="1800"/>
        <w:gridCol w:w="2700"/>
        <w:gridCol w:w="2200"/>
        <w:gridCol w:w="2660"/>
      </w:tblGrid>
      <w:tr>
        <w:trPr>
          <w:tblHeader/>
        </w:trPr>
        <w:tc>
          <w:tcPr>
            <w:tcW w:type="dxa" w:w="18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7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Representative models (Aug 2026)</w:t>
            </w:r>
          </w:p>
        </w:tc>
        <w:tc>
          <w:tcPr>
            <w:tcW w:type="dxa" w:w="22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~USD / 1M tok (in / out)</w:t>
            </w:r>
          </w:p>
        </w:tc>
        <w:tc>
          <w:tcPr>
            <w:tcW w:type="dxa" w:w="266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Frontier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Claude Opus-class, GPT-5.6 “Sol”-class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~$5 / $25–30</w:t>
            </w:r>
          </w:p>
        </w:tc>
        <w:tc>
          <w:tcPr>
            <w:tcW w:type="dxa" w:w="2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Hard multi-step reasoning, orchestration, code</w:t>
            </w:r>
          </w:p>
        </w:tc>
      </w:tr>
      <w:tr>
        <w:tc>
          <w:tcPr>
            <w:tcW w:type="dxa" w:w="18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Balanced</w:t>
            </w:r>
          </w:p>
        </w:tc>
        <w:tc>
          <w:tcPr>
            <w:tcW w:type="dxa" w:w="27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Claude Sonnet-class, GPT “Terra”, Gemini Pro</w:t>
            </w:r>
          </w:p>
        </w:tc>
        <w:tc>
          <w:tcPr>
            <w:tcW w:type="dxa" w:w="22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~$2–3 / $10–15</w:t>
            </w:r>
          </w:p>
        </w:tc>
        <w:tc>
          <w:tcPr>
            <w:tcW w:type="dxa" w:w="26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Default workhorse; RAG answers, drafting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Economy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Claude Haiku-class, GPT “Luna”, Gemini Flash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~$0.20–1 / $1.20–5</w:t>
            </w:r>
          </w:p>
        </w:tc>
        <w:tc>
          <w:tcPr>
            <w:tcW w:type="dxa" w:w="2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Extraction, classification, routing, summaries</w:t>
            </w:r>
          </w:p>
        </w:tc>
      </w:tr>
      <w:tr>
        <w:tc>
          <w:tcPr>
            <w:tcW w:type="dxa" w:w="18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Self-hosted</w:t>
            </w:r>
          </w:p>
        </w:tc>
        <w:tc>
          <w:tcPr>
            <w:tcW w:type="dxa" w:w="27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Llama, Mistral, Qwen, Phi (open weights)</w:t>
            </w:r>
          </w:p>
        </w:tc>
        <w:tc>
          <w:tcPr>
            <w:tcW w:type="dxa" w:w="22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$0 licence + your GPU</w:t>
            </w:r>
          </w:p>
        </w:tc>
        <w:tc>
          <w:tcPr>
            <w:tcW w:type="dxa" w:w="26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Data-residency-bound or very high volume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single" w:color="1C5D99" w:sz="2"/>
          <w:left w:val="single" w:color="1C5D99" w:sz="18"/>
          <w:bottom w:val="single" w:color="1C5D99" w:sz="2"/>
          <w:right w:val="single" w:color="1C5D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C5D99"/>
                <w:sz w:val="21"/>
                <w:szCs w:val="21"/>
              </w:rPr>
              <w:t xml:space="preserve">Two discounts that change the math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Batch processing: roughly −50% on tokens for anything that does not need a live answer (the SOP generator and PDF reconciliation are natural fits).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Prompt caching: up to −90% on repeated prompt prefixes — large system prompts, fixed instructions, reused document context. Central to keeping RAG agents affordable.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Data-policy gate.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For the financial-reporting and reconciliation agents that touch Eagle / Lion / ICE data, the permitted-LLM question decides the tier list: external API (any tier) vs in-tenant only (e.g. models hosted inside your Azure/AWS subscription) vs fully self-hosted open weights. This is scorecard input #8 and must be confirmed before a build is chosen.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5D99"/>
          <w:sz w:val="30"/>
          <w:szCs w:val="30"/>
        </w:rPr>
        <w:t xml:space="preserve">6. The cost model (USD, tooling &amp; access only)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Per the brief, the figures below are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money for tools and access only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— no salary, no labour, no multi-year projection. Prices are list prices captured August 2026; confirm before procurement. Build a per-agent estimate by adding one line from each relevant layer.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6.1 Cost building blocks</w:t>
      </w:r>
    </w:p>
    <w:tbl>
      <w:tblPr>
        <w:tblW w:type="dxa" w:w="9360"/>
        <w:tblBorders>
          <w:top w:val="single" w:color="C7D2DD" w:sz="3"/>
          <w:left w:val="single" w:color="C7D2DD" w:sz="3"/>
          <w:bottom w:val="single" w:color="C7D2DD" w:sz="3"/>
          <w:right w:val="single" w:color="C7D2DD" w:sz="3"/>
          <w:insideH w:val="single" w:color="C7D2DD" w:sz="3"/>
          <w:insideV w:val="single" w:color="C7D2DD" w:sz="3"/>
        </w:tblBorders>
      </w:tblPr>
      <w:tblGrid>
        <w:gridCol w:w="2050"/>
        <w:gridCol w:w="2500"/>
        <w:gridCol w:w="2200"/>
        <w:gridCol w:w="2610"/>
      </w:tblGrid>
      <w:tr>
        <w:trPr>
          <w:tblHeader/>
        </w:trPr>
        <w:tc>
          <w:tcPr>
            <w:tcW w:type="dxa" w:w="205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5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22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Illustrative list price</w:t>
            </w:r>
          </w:p>
        </w:tc>
        <w:tc>
          <w:tcPr>
            <w:tcW w:type="dxa" w:w="261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Reasoning (LLM)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Frontier API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~$5 in / $25–30 out per 1M tok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Reserve for hard reasoning / orchestration</w:t>
            </w:r>
          </w:p>
        </w:tc>
      </w:tr>
      <w:tr>
        <w:tc>
          <w:tcPr>
            <w:tcW w:type="dxa" w:w="205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Balanced API</w:t>
            </w:r>
          </w:p>
        </w:tc>
        <w:tc>
          <w:tcPr>
            <w:tcW w:type="dxa" w:w="22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~$2–3 in / $10–15 out</w:t>
            </w:r>
          </w:p>
        </w:tc>
        <w:tc>
          <w:tcPr>
            <w:tcW w:type="dxa" w:w="261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Default; batch −50%, cache −90%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Economy API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~$0.20–1 in / $1.20–5 out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Extraction, routing, classification</w:t>
            </w:r>
          </w:p>
        </w:tc>
      </w:tr>
      <w:tr>
        <w:tc>
          <w:tcPr>
            <w:tcW w:type="dxa" w:w="205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Self-hosted open weights</w:t>
            </w:r>
          </w:p>
        </w:tc>
        <w:tc>
          <w:tcPr>
            <w:tcW w:type="dxa" w:w="22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$0 licence + GPU compute</w:t>
            </w:r>
          </w:p>
        </w:tc>
        <w:tc>
          <w:tcPr>
            <w:tcW w:type="dxa" w:w="261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On VMware/GPU you already own = capex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Managed platform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Copilot Studio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$200 / 25,000 messages (or $0.01/credit)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M365 Copilot $30/user/mo covers internal use</w:t>
            </w:r>
          </w:p>
        </w:tc>
      </w:tr>
      <w:tr>
        <w:tc>
          <w:tcPr>
            <w:tcW w:type="dxa" w:w="205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Foundry Agent Service</w:t>
            </w:r>
          </w:p>
        </w:tc>
        <w:tc>
          <w:tcPr>
            <w:tcW w:type="dxa" w:w="22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No runtime fee; pay tokens</w:t>
            </w:r>
          </w:p>
        </w:tc>
        <w:tc>
          <w:tcPr>
            <w:tcW w:type="dxa" w:w="261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+15–40% for AI Search, monitoring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Bedrock AgentCore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~$0.0007 / typical session + tokens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Per-second, I/O wait free</w:t>
            </w:r>
          </w:p>
        </w:tc>
      </w:tr>
      <w:tr>
        <w:tc>
          <w:tcPr>
            <w:tcW w:type="dxa" w:w="205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Claude managed agents</w:t>
            </w:r>
          </w:p>
        </w:tc>
        <w:tc>
          <w:tcPr>
            <w:tcW w:type="dxa" w:w="22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~$0.08 / session-hour + tokens</w:t>
            </w:r>
          </w:p>
        </w:tc>
        <w:tc>
          <w:tcPr>
            <w:tcW w:type="dxa" w:w="261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Vendor runtime; optional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Compute (self-run)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Azure Functions (consumption)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~$0–5 / mo at low volume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Event/scheduled; effectively pennies idle</w:t>
            </w:r>
          </w:p>
        </w:tc>
      </w:tr>
      <w:tr>
        <w:tc>
          <w:tcPr>
            <w:tcW w:type="dxa" w:w="205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Azure Container Apps</w:t>
            </w:r>
          </w:p>
        </w:tc>
        <w:tc>
          <w:tcPr>
            <w:tcW w:type="dxa" w:w="22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~$63 / vCPU-mo, ~$7.9 / GiB-mo</w:t>
            </w:r>
          </w:p>
        </w:tc>
        <w:tc>
          <w:tcPr>
            <w:tcW w:type="dxa" w:w="261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Scale-to-zero; $0.40 / 1M requests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Azure App Service P1v3 ×2 (HA)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~$300–350 / mo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Always-on; simple PaaS</w:t>
            </w:r>
          </w:p>
        </w:tc>
      </w:tr>
      <w:tr>
        <w:tc>
          <w:tcPr>
            <w:tcW w:type="dxa" w:w="205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AKS (managed K8s)</w:t>
            </w:r>
          </w:p>
        </w:tc>
        <w:tc>
          <w:tcPr>
            <w:tcW w:type="dxa" w:w="22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~$210 / mo (3× 2vCPU nodes) + $73 SLA</w:t>
            </w:r>
          </w:p>
        </w:tc>
        <w:tc>
          <w:tcPr>
            <w:tcW w:type="dxa" w:w="261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Control plane free; you run nodes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AWS Fargate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~$29.55 / vCPU-mo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Serverless containers</w:t>
            </w:r>
          </w:p>
        </w:tc>
      </w:tr>
      <w:tr>
        <w:tc>
          <w:tcPr>
            <w:tcW w:type="dxa" w:w="205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Retrieval (vector)</w:t>
            </w:r>
          </w:p>
        </w:tc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pgvector on managed Postgres</w:t>
            </w:r>
          </w:p>
        </w:tc>
        <w:tc>
          <w:tcPr>
            <w:tcW w:type="dxa" w:w="22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~$45 / mo @ ~10M vectors</w:t>
            </w:r>
          </w:p>
        </w:tc>
        <w:tc>
          <w:tcPr>
            <w:tcW w:type="dxa" w:w="261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Cheapest; reuses SQL/Postgres skills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Pinecone serverless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$50 / mo min (~$70 @ 10M)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Write-heavy agents run 3–5× calculator</w:t>
            </w:r>
          </w:p>
        </w:tc>
      </w:tr>
      <w:tr>
        <w:tc>
          <w:tcPr>
            <w:tcW w:type="dxa" w:w="205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Qdrant / Weaviate cloud</w:t>
            </w:r>
          </w:p>
        </w:tc>
        <w:tc>
          <w:tcPr>
            <w:tcW w:type="dxa" w:w="22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~$65 / ~$135 per mo</w:t>
            </w:r>
          </w:p>
        </w:tc>
        <w:tc>
          <w:tcPr>
            <w:tcW w:type="dxa" w:w="261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Managed alternatives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Azure AI Search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Tier-based (Basic→Standard)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Native to Foundry RAG; verify tier on calculator</w:t>
            </w:r>
          </w:p>
        </w:tc>
      </w:tr>
      <w:tr>
        <w:tc>
          <w:tcPr>
            <w:tcW w:type="dxa" w:w="205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Connectors / access</w:t>
            </w:r>
          </w:p>
        </w:tc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Premium connectors (Power Platform)</w:t>
            </w:r>
          </w:p>
        </w:tc>
        <w:tc>
          <w:tcPr>
            <w:tcW w:type="dxa" w:w="22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~$15 / user-mo</w:t>
            </w:r>
          </w:p>
        </w:tc>
        <w:tc>
          <w:tcPr>
            <w:tcW w:type="dxa" w:w="261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Only if using premium data connectors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Source API / DB access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Per source (often already owned)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Eagle/Lion/ICE licences separate</w:t>
            </w:r>
          </w:p>
        </w:tc>
      </w:tr>
      <w:tr>
        <w:tc>
          <w:tcPr>
            <w:tcW w:type="dxa" w:w="205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Cross-cutting</w:t>
            </w:r>
          </w:p>
        </w:tc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Guardrails (Content Safety / OSS)</w:t>
            </w:r>
          </w:p>
        </w:tc>
        <w:tc>
          <w:tcPr>
            <w:tcW w:type="dxa" w:w="22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Small per-1k records / free OSS</w:t>
            </w:r>
          </w:p>
        </w:tc>
        <w:tc>
          <w:tcPr>
            <w:tcW w:type="dxa" w:w="261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Azure AI Content Safety, Bedrock Guardrails, Llama Guard</w:t>
            </w:r>
          </w:p>
        </w:tc>
      </w:tr>
      <w:tr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Observability (LLM tracing)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$0 self-host → $100s/mo SaaS</w:t>
            </w:r>
          </w:p>
        </w:tc>
        <w:tc>
          <w:tcPr>
            <w:tcW w:type="dxa" w:w="2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Langfuse (OSS), Arize, Datadog LLM</w:t>
            </w:r>
          </w:p>
        </w:tc>
      </w:tr>
      <w:tr>
        <w:tc>
          <w:tcPr>
            <w:tcW w:type="dxa" w:w="205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Secrets (Key Vault/Secrets Mgr)</w:t>
            </w:r>
          </w:p>
        </w:tc>
        <w:tc>
          <w:tcPr>
            <w:tcW w:type="dxa" w:w="22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Pennies / mo</w:t>
            </w:r>
          </w:p>
        </w:tc>
        <w:tc>
          <w:tcPr>
            <w:tcW w:type="dxa" w:w="261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Mandatory; negligible cost</w:t>
            </w:r>
          </w:p>
        </w:tc>
      </w:tr>
    </w:tbl>
    <w:p>
      <w:pPr>
        <w:spacing w:after="70"/>
      </w:pPr>
    </w:p>
    <w:tbl>
      <w:tblPr>
        <w:tblW w:type="dxa" w:w="9360"/>
        <w:tblBorders>
          <w:top w:val="single" w:color="2A7F62" w:sz="2"/>
          <w:left w:val="single" w:color="2A7F62" w:sz="18"/>
          <w:bottom w:val="single" w:color="2A7F62" w:sz="2"/>
          <w:right w:val="single" w:color="2A7F6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A7F62"/>
                <w:sz w:val="21"/>
                <w:szCs w:val="21"/>
              </w:rPr>
              <w:t xml:space="preserve">How to read the token line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A worked example: an internal RAG agent doing ~2M input + 0.5M output tokens/month costs roughly $22 on a frontier model, ~$13 on a balanced model, or ~$4.5 on an economy model — before caching or batch discounts. Model choice, not hosting, usually dominates the bill. Size the token line first.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5D99"/>
          <w:sz w:val="30"/>
          <w:szCs w:val="30"/>
        </w:rPr>
        <w:t xml:space="preserve">7. Guardrails &amp; governance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Guardrails are not one control; they are a thin layer wrapped around every agent. In a financial-data context they are the difference between “pilot” and “production.”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Input controls: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prompt-injection detection, PII redaction before the model sees data, request rate/size limits.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Output controls: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content-safety filtering, schema validation (the reconciliation agent must emit numbers, not prose), refusal on out-of-scope asks.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Action controls: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tool allow-lists, read-only by default, explicit approval before any write/irreversible action, per-tool scopes.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Data controls: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least-privilege identity (Entra/IAM), row/column scoping on DBs, no training on your data, region/residency enforcement.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Audit: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full trace of every prompt, tool call, and output retained for review — both a guardrail and your KT evidence.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Options: platform-native (Azure AI Content Safety, Bedrock Guardrails, Foundry/Agent365 governance) or portable OSS (Llama Guard, NeMo Guardrails, Guardrails-AI). Managed archetypes give you most of this by configuration; framework/self-hosted archetypes mean you assemble it — which is the strongest argument for the shared platform in §11.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5D99"/>
          <w:sz w:val="30"/>
          <w:szCs w:val="30"/>
        </w:rPr>
        <w:t xml:space="preserve">8. Human-in-the-loop &amp; orchestration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8.1 Human-in-the-loop patterns</w:t>
      </w:r>
    </w:p>
    <w:tbl>
      <w:tblPr>
        <w:tblW w:type="dxa" w:w="9360"/>
        <w:tblBorders>
          <w:top w:val="single" w:color="C7D2DD" w:sz="3"/>
          <w:left w:val="single" w:color="C7D2DD" w:sz="3"/>
          <w:bottom w:val="single" w:color="C7D2DD" w:sz="3"/>
          <w:right w:val="single" w:color="C7D2DD" w:sz="3"/>
          <w:insideH w:val="single" w:color="C7D2DD" w:sz="3"/>
          <w:insideV w:val="single" w:color="C7D2DD" w:sz="3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33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6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it when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Full autonomy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Agent runs end to end, no human.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Low-risk, read-only, easily reversible.</w:t>
            </w:r>
          </w:p>
        </w:tc>
      </w:tr>
      <w:tr>
        <w:tc>
          <w:tcPr>
            <w:tcW w:type="dxa" w:w="24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Review-after</w:t>
            </w:r>
          </w:p>
        </w:tc>
        <w:tc>
          <w:tcPr>
            <w:tcW w:type="dxa" w:w="33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Agent acts; human audits a sample.</w:t>
            </w:r>
          </w:p>
        </w:tc>
        <w:tc>
          <w:tcPr>
            <w:tcW w:type="dxa" w:w="36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Medium risk; volume too high to check all.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Approve-before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Agent proposes; human approves each write.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Any irreversible or financial write action.</w:t>
            </w:r>
          </w:p>
        </w:tc>
      </w:tr>
      <w:tr>
        <w:tc>
          <w:tcPr>
            <w:tcW w:type="dxa" w:w="24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Exception-only</w:t>
            </w:r>
          </w:p>
        </w:tc>
        <w:tc>
          <w:tcPr>
            <w:tcW w:type="dxa" w:w="33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Agent handles the routine; escalates edge cases.</w:t>
            </w:r>
          </w:p>
        </w:tc>
        <w:tc>
          <w:tcPr>
            <w:tcW w:type="dxa" w:w="36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High volume with a long tail (recommended default).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Recommendation: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for the four agents, use exception-only as the default and approve-before on anything that writes to a financial system or a system of record. The reconciliation agent, for instance, should auto-clear ties and escalate only breaks.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8.2 Can Claude manage / orchestrate agents?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Yes.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Claude is well suited to be the orchestrator — the reasoning “brain” that plans a task, decides which tool or sub-agent to call, reads the result, and iterates. This works three ways: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Direct API tool use / Claude Agent SDK: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Claude drives a loop over your tools and can coordinate specialised sub-agents (a supervisor pattern). You host the tools; Claude does the planning.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Through a cloud platform: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Claude models are available inside AWS Bedrock (and other platforms), so an AgentCore agent can use Claude as its reasoning model while the platform handles runtime and governance.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As a managed agent: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Anthropic's managed-agent runtime (session-metered) hosts the loop for you.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Practically: a frontier Claude model as the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orchestrator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, with economy-tier models (Claude Haiku-class or open weights) doing the cheap sub-tasks, is a strong, cost-efficient pattern — exactly the supervisor design proposed for the fresh agent in §11.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5D99"/>
          <w:sz w:val="30"/>
          <w:szCs w:val="30"/>
        </w:rPr>
        <w:t xml:space="preserve">9. The four agents, scored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Each agent gets a Best case (most efficient / highest quality) and a Moderate case (cost-efficient), with an indicative monthly tooling/access band. Bands assume modest internal volume and exclude source-system licences you already own; confirm against the scorecard once environment and data policy are fixed.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9.1 SOP Generator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Drop in transcripts / video / docs / chat → convert to the STP standard format. Batch-friendly, document-heavy, low irreversibility.</w:t>
      </w:r>
    </w:p>
    <w:tbl>
      <w:tblPr>
        <w:tblW w:type="dxa" w:w="9360"/>
        <w:tblBorders>
          <w:top w:val="single" w:color="C7D2DD" w:sz="3"/>
          <w:left w:val="single" w:color="C7D2DD" w:sz="3"/>
          <w:bottom w:val="single" w:color="C7D2DD" w:sz="3"/>
          <w:right w:val="single" w:color="C7D2DD" w:sz="3"/>
          <w:insideH w:val="single" w:color="C7D2DD" w:sz="3"/>
          <w:insideV w:val="single" w:color="C7D2DD" w:sz="3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case (efficient / high quality)</w:t>
            </w:r>
          </w:p>
        </w:tc>
        <w:tc>
          <w:tcPr>
            <w:tcW w:type="dxa" w:w="378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Moderate case (cost-efficient)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Archetype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 / D — framework or low-code pipeline (LangGraph or Dify)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 — self-hosted Dify / n8n on one small container</w:t>
            </w:r>
          </w:p>
        </w:tc>
      </w:tr>
      <w:tr>
        <w:tc>
          <w:tcPr>
            <w:tcW w:type="dxa" w:w="18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Model</w:t>
            </w:r>
          </w:p>
        </w:tc>
        <w:tc>
          <w:tcPr>
            <w:tcW w:type="dxa" w:w="378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Balanced for drafting; economy for parsing/extraction</w:t>
            </w:r>
          </w:p>
        </w:tc>
        <w:tc>
          <w:tcPr>
            <w:tcW w:type="dxa" w:w="378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Economy tier + prompt caching on the format template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Host / runtime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Azure Container Apps (scale-to-zero) + object storage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Azure Functions or single Container Apps replica</w:t>
            </w:r>
          </w:p>
        </w:tc>
      </w:tr>
      <w:tr>
        <w:tc>
          <w:tcPr>
            <w:tcW w:type="dxa" w:w="18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HITL</w:t>
            </w:r>
          </w:p>
        </w:tc>
        <w:tc>
          <w:tcPr>
            <w:tcW w:type="dxa" w:w="378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Review-after (author approves the generated SOP)</w:t>
            </w:r>
          </w:p>
        </w:tc>
        <w:tc>
          <w:tcPr>
            <w:tcW w:type="dxa" w:w="378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Review-after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Indicative $/mo (tools+access)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~$80–250 + tokens (batchable −50%)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~$30–120 + tokens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Note: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Transcription of audio/video is a separate line (speech-to-text tokens); cache the STP template as a fixed prefix to cut cost sharply.</w:t>
      </w:r>
    </w:p>
    <w:p>
      <w:pPr>
        <w:spacing w:after="4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9.2 HR Agent (“HR Ally”)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Chat over HR documents in the SharePoint “HR HUB.” Already envisioned in Copilot — the lowest-friction path given Microsoft 365 + SharePoint.</w:t>
      </w:r>
    </w:p>
    <w:tbl>
      <w:tblPr>
        <w:tblW w:type="dxa" w:w="9360"/>
        <w:tblBorders>
          <w:top w:val="single" w:color="C7D2DD" w:sz="3"/>
          <w:left w:val="single" w:color="C7D2DD" w:sz="3"/>
          <w:bottom w:val="single" w:color="C7D2DD" w:sz="3"/>
          <w:right w:val="single" w:color="C7D2DD" w:sz="3"/>
          <w:insideH w:val="single" w:color="C7D2DD" w:sz="3"/>
          <w:insideV w:val="single" w:color="C7D2DD" w:sz="3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case (efficient / high quality)</w:t>
            </w:r>
          </w:p>
        </w:tc>
        <w:tc>
          <w:tcPr>
            <w:tcW w:type="dxa" w:w="378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Moderate case (cost-efficient)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Archetype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 — Copilot Studio (native SharePoint grounding, Teams surface)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 — framework RAG over SharePoint + balanced model</w:t>
            </w:r>
          </w:p>
        </w:tc>
      </w:tr>
      <w:tr>
        <w:tc>
          <w:tcPr>
            <w:tcW w:type="dxa" w:w="18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Model</w:t>
            </w:r>
          </w:p>
        </w:tc>
        <w:tc>
          <w:tcPr>
            <w:tcW w:type="dxa" w:w="378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Platform-managed (Foundry models under the hood)</w:t>
            </w:r>
          </w:p>
        </w:tc>
        <w:tc>
          <w:tcPr>
            <w:tcW w:type="dxa" w:w="378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Economy/balanced with prompt caching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Host / runtime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Fully managed by Microsoft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Container Apps + pgvector or Azure AI Search</w:t>
            </w:r>
          </w:p>
        </w:tc>
      </w:tr>
      <w:tr>
        <w:tc>
          <w:tcPr>
            <w:tcW w:type="dxa" w:w="18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HITL</w:t>
            </w:r>
          </w:p>
        </w:tc>
        <w:tc>
          <w:tcPr>
            <w:tcW w:type="dxa" w:w="378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Full autonomy for Q&amp;A; escalate to HR for policy asks</w:t>
            </w:r>
          </w:p>
        </w:tc>
        <w:tc>
          <w:tcPr>
            <w:tcW w:type="dxa" w:w="378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Full autonomy; log all answers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Indicative $/mo (tools+access)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$0 extra if on M365 Copilot; else ~$200/25k msgs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~$95–300 + tokens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Note: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Copilot Studio wins on speed and governance here; the framework path only wins if you must avoid per-message credit costs at high volume.</w:t>
      </w:r>
    </w:p>
    <w:p>
      <w:pPr>
        <w:spacing w:after="4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9.3 Financial Reporting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UI → Eagle / Lion / ICE (Oracle cloud + API) → Excel → document, repeatable. Sensitive data, write-adjacent, compliance-bound. Data policy dominates.</w:t>
      </w:r>
    </w:p>
    <w:tbl>
      <w:tblPr>
        <w:tblW w:type="dxa" w:w="9360"/>
        <w:tblBorders>
          <w:top w:val="single" w:color="C7D2DD" w:sz="3"/>
          <w:left w:val="single" w:color="C7D2DD" w:sz="3"/>
          <w:bottom w:val="single" w:color="C7D2DD" w:sz="3"/>
          <w:right w:val="single" w:color="C7D2DD" w:sz="3"/>
          <w:insideH w:val="single" w:color="C7D2DD" w:sz="3"/>
          <w:insideV w:val="single" w:color="C7D2DD" w:sz="3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case (efficient / high quality)</w:t>
            </w:r>
          </w:p>
        </w:tc>
        <w:tc>
          <w:tcPr>
            <w:tcW w:type="dxa" w:w="378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Moderate case (cost-efficient)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Archetype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A/C — Foundry Agent Service or framework, in-tenant models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 — framework on existing compute, self-hosted open model</w:t>
            </w:r>
          </w:p>
        </w:tc>
      </w:tr>
      <w:tr>
        <w:tc>
          <w:tcPr>
            <w:tcW w:type="dxa" w:w="18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Model</w:t>
            </w:r>
          </w:p>
        </w:tc>
        <w:tc>
          <w:tcPr>
            <w:tcW w:type="dxa" w:w="378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Balanced (in-tenant) orchestrated by a frontier model</w:t>
            </w:r>
          </w:p>
        </w:tc>
        <w:tc>
          <w:tcPr>
            <w:tcW w:type="dxa" w:w="378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Self-hosted open weights (no data egress) + economy fallback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Host / runtime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Container Apps / AKS inside your VNet; private endpoints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Your VMware/GPU; scheduled runs</w:t>
            </w:r>
          </w:p>
        </w:tc>
      </w:tr>
      <w:tr>
        <w:tc>
          <w:tcPr>
            <w:tcW w:type="dxa" w:w="18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HITL</w:t>
            </w:r>
          </w:p>
        </w:tc>
        <w:tc>
          <w:tcPr>
            <w:tcW w:type="dxa" w:w="378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Approve-before on any table write; review-after on reports</w:t>
            </w:r>
          </w:p>
        </w:tc>
        <w:tc>
          <w:tcPr>
            <w:tcW w:type="dxa" w:w="378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Approve-before on writes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Indicative $/mo (tools+access)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~$300–800 + tokens + AI Search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~$100–300 + your capex (no per-token)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Note: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If policy forbids external LLM APIs, the self-hosted/open-weight path is not the cheaper option — it is the only option. Confirm scorecard input #8 first.</w:t>
      </w:r>
    </w:p>
    <w:p>
      <w:pPr>
        <w:spacing w:after="4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9.4 PDF Reader / Reconciliation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Read tables from PDFs in a folder → do math → check ties (opening + credit − debit = closing) → write results to Excel. Deterministic core; LLM mainly for extraction and explaining breaks.</w:t>
      </w:r>
    </w:p>
    <w:tbl>
      <w:tblPr>
        <w:tblW w:type="dxa" w:w="9360"/>
        <w:tblBorders>
          <w:top w:val="single" w:color="C7D2DD" w:sz="3"/>
          <w:left w:val="single" w:color="C7D2DD" w:sz="3"/>
          <w:bottom w:val="single" w:color="C7D2DD" w:sz="3"/>
          <w:right w:val="single" w:color="C7D2DD" w:sz="3"/>
          <w:insideH w:val="single" w:color="C7D2DD" w:sz="3"/>
          <w:insideV w:val="single" w:color="C7D2DD" w:sz="3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78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case (efficient / high quality)</w:t>
            </w:r>
          </w:p>
        </w:tc>
        <w:tc>
          <w:tcPr>
            <w:tcW w:type="dxa" w:w="378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Moderate case (cost-efficient)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Archetype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 — Python framework; LLM only for extraction + narration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D/C — self-hosted OSS pipeline on one container</w:t>
            </w:r>
          </w:p>
        </w:tc>
      </w:tr>
      <w:tr>
        <w:tc>
          <w:tcPr>
            <w:tcW w:type="dxa" w:w="18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Model</w:t>
            </w:r>
          </w:p>
        </w:tc>
        <w:tc>
          <w:tcPr>
            <w:tcW w:type="dxa" w:w="378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Economy tier for extraction; math done in code, not the model</w:t>
            </w:r>
          </w:p>
        </w:tc>
        <w:tc>
          <w:tcPr>
            <w:tcW w:type="dxa" w:w="378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Self-hosted open model or economy API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Host / runtime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Azure Functions (scheduled) or Container Apps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Single container / your VMware</w:t>
            </w:r>
          </w:p>
        </w:tc>
      </w:tr>
      <w:tr>
        <w:tc>
          <w:tcPr>
            <w:tcW w:type="dxa" w:w="18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HITL</w:t>
            </w:r>
          </w:p>
        </w:tc>
        <w:tc>
          <w:tcPr>
            <w:tcW w:type="dxa" w:w="378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Exception-only — auto-clear ties, escalate breaks</w:t>
            </w:r>
          </w:p>
        </w:tc>
        <w:tc>
          <w:tcPr>
            <w:tcW w:type="dxa" w:w="378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Exception-only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Indicative $/mo (tools+access)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~$40–150 + tokens (batchable)</w:t>
            </w:r>
          </w:p>
        </w:tc>
        <w:tc>
          <w:tcPr>
            <w:tcW w:type="dxa" w:w="37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~$20–80 + tokens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Note: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Keep the arithmetic in code for auditability — the model extracts and explains, it does not add up the numbers. This is the cheapest agent to run.</w:t>
      </w:r>
    </w:p>
    <w:p>
      <w:pPr>
        <w:spacing w:after="40"/>
      </w:pP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5D99"/>
          <w:sz w:val="30"/>
          <w:szCs w:val="30"/>
        </w:rPr>
        <w:t xml:space="preserve">10. The general-purpose case: an intake scorecard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When an idea is not one of the four, don't start from scratch — run it through the same ten lenses on a one-page intake. Capture answers, and the two-band cost falls out.</w:t>
      </w:r>
    </w:p>
    <w:tbl>
      <w:tblPr>
        <w:tblW w:type="dxa" w:w="9360"/>
        <w:tblBorders>
          <w:top w:val="single" w:color="C7D2DD" w:sz="3"/>
          <w:left w:val="single" w:color="C7D2DD" w:sz="3"/>
          <w:bottom w:val="single" w:color="C7D2DD" w:sz="3"/>
          <w:right w:val="single" w:color="C7D2DD" w:sz="3"/>
          <w:insideH w:val="single" w:color="C7D2DD" w:sz="3"/>
          <w:insideV w:val="single" w:color="C7D2DD" w:sz="3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Intake field</w:t>
            </w:r>
          </w:p>
        </w:tc>
        <w:tc>
          <w:tcPr>
            <w:tcW w:type="dxa" w:w="636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Capture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Idea in one sentence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What it does and for whom</w:t>
            </w:r>
          </w:p>
        </w:tc>
      </w:tr>
      <w:tr>
        <w:tc>
          <w:tcPr>
            <w:tcW w:type="dxa" w:w="30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Interface</w:t>
            </w:r>
          </w:p>
        </w:tc>
        <w:tc>
          <w:tcPr>
            <w:tcW w:type="dxa" w:w="63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UI / Teams tab / API / scheduled job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Data sources &amp; sensitivity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Which systems; is data regulated / residency-bound?</w:t>
            </w:r>
          </w:p>
        </w:tc>
      </w:tr>
      <w:tr>
        <w:tc>
          <w:tcPr>
            <w:tcW w:type="dxa" w:w="30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Permitted-LLM policy</w:t>
            </w:r>
          </w:p>
        </w:tc>
        <w:tc>
          <w:tcPr>
            <w:tcW w:type="dxa" w:w="63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External API / in-tenant only / self-hosted only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Actions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Read-only or does it write? Reversible?</w:t>
            </w:r>
          </w:p>
        </w:tc>
      </w:tr>
      <w:tr>
        <w:tc>
          <w:tcPr>
            <w:tcW w:type="dxa" w:w="30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Volume</w:t>
            </w:r>
          </w:p>
        </w:tc>
        <w:tc>
          <w:tcPr>
            <w:tcW w:type="dxa" w:w="63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Requests/day, tokens/request → token line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Latency need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Live (&lt;2s) or batch/async?</w:t>
            </w:r>
          </w:p>
        </w:tc>
      </w:tr>
      <w:tr>
        <w:tc>
          <w:tcPr>
            <w:tcW w:type="dxa" w:w="30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Guardrails required</w:t>
            </w:r>
          </w:p>
        </w:tc>
        <w:tc>
          <w:tcPr>
            <w:tcW w:type="dxa" w:w="63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PII, injection, approval gates, audit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Human-in-the-loop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Autonomy / review-after / approve-before / exception-only</w:t>
            </w:r>
          </w:p>
        </w:tc>
      </w:tr>
      <w:tr>
        <w:tc>
          <w:tcPr>
            <w:tcW w:type="dxa" w:w="30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Output: archetype(s)</w:t>
            </w:r>
          </w:p>
        </w:tc>
        <w:tc>
          <w:tcPr>
            <w:tcW w:type="dxa" w:w="63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From §4 — usually 2–3 viable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Output: Best vs Moderate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Two USD bands from §6 blocks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Rule of thumb for a fast band: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size the token line first (§6 example), add the host line (scale-to-zero for bursty, always-on for chat), add retrieval if it uses documents, add platform/connector fees if managed. That four-line sum is your educated cost in minutes.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5D99"/>
          <w:sz w:val="30"/>
          <w:szCs w:val="30"/>
        </w:rPr>
        <w:t xml:space="preserve">11. Fresh idea: the Agent Landing Zone + a supervisor agent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11.1 The strategic idea — an Agent Landing Zone (“Agent Factory”)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The brief's real goal is not four agents — it is a </w:t>
      </w: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repeatable way to ship any agent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. So make hosting a product, not a project. An Agent Landing Zone is a paved “golden path”: a scaffold plus shared services that every new agent plugs into, so nobody re-solves identity, guardrails, logging, or model access again.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Golden-path template: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a repo scaffold (agent + tools + eval set + Dockerfile) wired to CI/CD that deploys to the standard host on merge.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Model gateway / router: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one endpoint in front of all models (LiteLLM or platform-native). Swap or route models by config; enforce the data policy centrally; get per-agent cost metering for free.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Shared guardrail + observability + secrets services: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built once, inherited by every agent — the single biggest reason framework agents are safe and cheap to run.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The intake scorecard (§10) as the front door: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every idea enters the same way and exits with an archetype and a two-band cost.</w:t>
      </w:r>
    </w:p>
    <w:tbl>
      <w:tblPr>
        <w:tblW w:type="dxa" w:w="9360"/>
        <w:tblBorders>
          <w:top w:val="single" w:color="1C5D99" w:sz="2"/>
          <w:left w:val="single" w:color="1C5D99" w:sz="18"/>
          <w:bottom w:val="single" w:color="1C5D99" w:sz="2"/>
          <w:right w:val="single" w:color="1C5D9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C5D99"/>
                <w:sz w:val="21"/>
                <w:szCs w:val="21"/>
              </w:rPr>
              <w:t xml:space="preserve">Why this is the high-leverage move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The first agent on the Landing Zone costs more than a one-off. The second is far cheaper, the fifth is nearly free to stand up, and every one is governed and costed the same way. That is precisely the “educated cost + options in minutes” capability the brief asks for — turned into infrastructure.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11.2 The fresh agent — a Controls &amp; Exceptions Orchestrator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 new agent that sits </w:t>
      </w: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above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 the existing four rather than beside them. The reporting and reconciliation agents produce numbers and breaks; today a human stitches those together. The orchestrator is a supervisor (an ideal job for a frontier Claude model, per §8) that: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Watches the reconciliation agent's ties and the reporting agent's outputs on a schedule.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Flags exceptions — breaks where opening + credit − debit ≠ closing, or reports that fail a sanity check — and routes each to the right human with an explanation.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Keeps a single audit trail across all agents (what ran, what it found, who approved what).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Uses cheap models for the routine watch and a frontier model only to reason about an exception — the cost-efficient supervisor pattern.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Why it is valuable: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it converts four independent tools into a governed control system with one pane of glass and one audit log — the thing an org architect actually wants to hand to an auditor. It also becomes the reference implementation for the Landing Zone's supervisor pattern.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5D99"/>
          <w:sz w:val="30"/>
          <w:szCs w:val="30"/>
        </w:rPr>
        <w:t xml:space="preserve">12. KT base &amp; documentation handover</w:t>
      </w:r>
    </w:p>
    <w:p>
      <w:pPr>
        <w:spacing w:after="120" w:line="276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An agent is not “hosted” until someone other than the builder can run, debug, and cost it. Every agent ships with: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Architecture diagram: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the seven layers for this agent, and every external dependency.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Runbook: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how to deploy, roll back, rotate secrets, and what to do when the model, a connector, or a source system is down.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Evaluation set: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the test cases that define “working,” run in CI so a model swap can be validated cheaply.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Guardrail &amp; access register: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which controls are active, which identities/scopes the agent uses.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Cost sheet &amp; owner: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the §6 line items for this agent, current monthly spend, and a named owner watching the meter.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Decision record: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the completed scorecard — why this archetype, model, and host were chosen, so the next person understands the trade-offs.</w:t>
      </w:r>
    </w:p>
    <w:tbl>
      <w:tblPr>
        <w:tblW w:type="dxa" w:w="9360"/>
        <w:tblBorders>
          <w:top w:val="single" w:color="2A7F62" w:sz="2"/>
          <w:left w:val="single" w:color="2A7F62" w:sz="18"/>
          <w:bottom w:val="single" w:color="2A7F62" w:sz="2"/>
          <w:right w:val="single" w:color="2A7F6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A7F62"/>
                <w:sz w:val="21"/>
                <w:szCs w:val="21"/>
              </w:rPr>
              <w:t xml:space="preserve">Definition of done</w:t>
            </w:r>
          </w:p>
          <w:p>
            <w:pPr>
              <w:spacing w:after="40" w:line="268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A new team member can, from the KT base alone: deploy the agent, explain what every layer costs, name every control, and pass the eval set. If they can't, the handover isn't finished.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5D99"/>
          <w:sz w:val="30"/>
          <w:szCs w:val="30"/>
        </w:rPr>
        <w:t xml:space="preserve">Appendix A. Pricing snapshot &amp; sources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1F2933"/>
          <w:sz w:val="21"/>
          <w:szCs w:val="21"/>
        </w:rPr>
        <w:t xml:space="preserve">All figures are list prices captured in August 2026 and are illustrative planning estimates, not quotes.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LLM, cloud, and platform pricing changes frequently — verify on each vendor's live pricing page and your own cost calculator before committing a budget. Model names are given as tiers because specific versions turn over quickly.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A7F62"/>
          <w:sz w:val="22"/>
          <w:szCs w:val="22"/>
        </w:rPr>
        <w:t xml:space="preserve">Primary source areas consulted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LLM API pricing (Anthropic, OpenAI, Google): vendor pricing pages and independent 2026 pricing trackers.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Microsoft Copilot Studio: Microsoft pricing/licensing docs and 2026 licensing guides ($200 / 25,000 messages; $0.01/credit; M365 Copilot $30/user-mo).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Managed agent platforms: Azure AI Foundry Agent Service, AWS Bedrock AgentCore, Google Vertex AI Agents comparison analyses (2026).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Compute: Azure Container Apps, App Service, AKS, Functions pricing pages and 2026 comparisons; AWS Fargate.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Vector databases: Pinecone, Weaviate, Qdrant, pgvector, Azure AI Search pricing pages and 2026 TCO comparisons.</w:t>
      </w:r>
    </w:p>
    <w:p>
      <w:pPr>
        <w:spacing w:after="6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5D99"/>
          <w:sz w:val="30"/>
          <w:szCs w:val="30"/>
        </w:rPr>
        <w:t xml:space="preserve">Appendix B. Glossary</w:t>
      </w:r>
    </w:p>
    <w:tbl>
      <w:tblPr>
        <w:tblW w:type="dxa" w:w="9360"/>
        <w:tblBorders>
          <w:top w:val="single" w:color="C7D2DD" w:sz="3"/>
          <w:left w:val="single" w:color="C7D2DD" w:sz="3"/>
          <w:bottom w:val="single" w:color="C7D2DD" w:sz="3"/>
          <w:right w:val="single" w:color="C7D2DD" w:sz="3"/>
          <w:insideH w:val="single" w:color="C7D2DD" w:sz="3"/>
          <w:insideV w:val="single" w:color="C7D2DD" w:sz="3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60"/>
            <w:shd w:fill="1C5D9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Agent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An LLM given tools and an autonomy loop (plan → act → observe → repeat).</w:t>
            </w:r>
          </w:p>
        </w:tc>
      </w:tr>
      <w:tr>
        <w:tc>
          <w:tcPr>
            <w:tcW w:type="dxa" w:w="26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Orchestrator / supervisor</w:t>
            </w:r>
          </w:p>
        </w:tc>
        <w:tc>
          <w:tcPr>
            <w:tcW w:type="dxa" w:w="67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 model that coordinates tools and sub-agents rather than doing the sub-task itself.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RAG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Retrieval-augmented generation — fetch relevant documents, then answer over them.</w:t>
            </w:r>
          </w:p>
        </w:tc>
      </w:tr>
      <w:tr>
        <w:tc>
          <w:tcPr>
            <w:tcW w:type="dxa" w:w="26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Token</w:t>
            </w:r>
          </w:p>
        </w:tc>
        <w:tc>
          <w:tcPr>
            <w:tcW w:type="dxa" w:w="67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The billing unit for LLMs; ~0.75 words. Priced per million, input and output separately.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Prompt caching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Reusing a fixed prompt prefix at up to −90% cost.</w:t>
            </w:r>
          </w:p>
        </w:tc>
      </w:tr>
      <w:tr>
        <w:tc>
          <w:tcPr>
            <w:tcW w:type="dxa" w:w="26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Batch processing</w:t>
            </w:r>
          </w:p>
        </w:tc>
        <w:tc>
          <w:tcPr>
            <w:tcW w:type="dxa" w:w="67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Async, non-live requests at ~−50% cost.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Scale-to-zero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Compute that costs nothing while idle and spins up on demand.</w:t>
            </w:r>
          </w:p>
        </w:tc>
      </w:tr>
      <w:tr>
        <w:tc>
          <w:tcPr>
            <w:tcW w:type="dxa" w:w="26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Guardrail</w:t>
            </w:r>
          </w:p>
        </w:tc>
        <w:tc>
          <w:tcPr>
            <w:tcW w:type="dxa" w:w="67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 control on agent input, output, or actions.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HITL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Human-in-the-loop — where a person reviews or approves.</w:t>
            </w:r>
          </w:p>
        </w:tc>
      </w:tr>
      <w:tr>
        <w:tc>
          <w:tcPr>
            <w:tcW w:type="dxa" w:w="260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Landing Zone</w:t>
            </w:r>
          </w:p>
        </w:tc>
        <w:tc>
          <w:tcPr>
            <w:tcW w:type="dxa" w:w="6760"/>
            <w:shd w:fill="F4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 standardised, governed platform new workloads plug into.</w:t>
            </w:r>
          </w:p>
        </w:tc>
      </w:tr>
    </w:tbl>
    <w:p>
      <w:pPr>
        <w:spacing w:after="120"/>
      </w:pPr>
    </w:p>
    <w:p>
      <w:pPr>
        <w:spacing w:after="120" w:line="276"/>
        <w:jc w:val="left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End of document — v1.0 draft for review. </w:t>
      </w:r>
      <w:r>
        <w:rPr>
          <w:rFonts w:ascii="Calibri" w:cs="Calibri" w:eastAsia="Calibri" w:hAnsi="Calibri"/>
          <w:color w:val="1F2933"/>
          <w:sz w:val="21"/>
          <w:szCs w:val="21"/>
        </w:rPr>
        <w:t xml:space="preserve">Next step: confirm target environment and permitted-LLM policy, then run each candidate through the §10 scorecard to lock the two-band costs.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C5D9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2933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A7F6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Hosting AI Agents — Options &amp; Cost Reference</dc:title>
  <dc:creator>Solution Architecture</dc:creator>
  <cp:lastModifiedBy>Un-named</cp:lastModifiedBy>
  <cp:revision>1</cp:revision>
  <dcterms:created xsi:type="dcterms:W3CDTF">2026-08-04T13:21:55.949Z</dcterms:created>
  <dcterms:modified xsi:type="dcterms:W3CDTF">2026-08-04T13:21:55.949Z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