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1B5C" w14:textId="77777777" w:rsidR="004D07E2" w:rsidRDefault="004D07E2" w:rsidP="004D07E2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124B54D1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F0198D6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0D373539" w14:textId="77777777" w:rsidR="004D07E2" w:rsidRDefault="004D07E2" w:rsidP="004D07E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4D07E2">
        <w:rPr>
          <w:rFonts w:ascii="Times New Roman" w:eastAsia="Times New Roman" w:hAnsi="Times New Roman" w:cs="Times New Roman"/>
        </w:rPr>
        <w:t xml:space="preserve">ZOI Faraday Series Ceiling pendant Electric Double Arm For </w:t>
      </w:r>
    </w:p>
    <w:p w14:paraId="3A263F0E" w14:textId="5D92F7EC" w:rsidR="004D07E2" w:rsidRDefault="004D07E2" w:rsidP="004D07E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Pr="004D07E2">
        <w:rPr>
          <w:rFonts w:ascii="Times New Roman" w:eastAsia="Times New Roman" w:hAnsi="Times New Roman" w:cs="Times New Roman"/>
        </w:rPr>
        <w:t>Surgical</w:t>
      </w:r>
    </w:p>
    <w:p w14:paraId="6FDAEC61" w14:textId="6961171A" w:rsidR="004D07E2" w:rsidRDefault="004D07E2" w:rsidP="004D07E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Tipe / Kode Produk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7D028E">
        <w:rPr>
          <w:rFonts w:ascii="Times New Roman" w:eastAsia="Times New Roman" w:hAnsi="Times New Roman" w:cs="Times New Roman"/>
          <w:color w:val="000000"/>
        </w:rPr>
        <w:t>ZOI-CP-FE-1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7D028E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0</w:t>
      </w:r>
    </w:p>
    <w:p w14:paraId="3CAB3ACD" w14:textId="64D01B8F" w:rsidR="004D07E2" w:rsidRDefault="004D07E2" w:rsidP="004D07E2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Penggunaan : </w:t>
      </w:r>
      <w:r w:rsidR="009402E5" w:rsidRPr="009402E5">
        <w:rPr>
          <w:rFonts w:ascii="Times New Roman" w:eastAsia="Times New Roman" w:hAnsi="Times New Roman" w:cs="Times New Roman"/>
        </w:rPr>
        <w:t>ZOI Faraday Series Ceiling Pendant Electric Double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untuk menaikan/menurunkan column pendant yang digerakan motor elektrik.</w:t>
      </w:r>
    </w:p>
    <w:p w14:paraId="0FFBA42A" w14:textId="77777777" w:rsidR="004D07E2" w:rsidRDefault="004D07E2" w:rsidP="004D07E2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43D5A2FE" w14:textId="77777777" w:rsidR="004D07E2" w:rsidRDefault="004D07E2" w:rsidP="004D07E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75DACBE7" w14:textId="77777777" w:rsidR="004D07E2" w:rsidRPr="00CA515C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65CD50C1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109FF56D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63970CFE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34DA6788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39C29E87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A487DE0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4A11FC9A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F146E19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3DD079DE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01E009C0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0AE2C4E6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</w:t>
      </w:r>
      <w:r>
        <w:rPr>
          <w:rFonts w:ascii="Times New Roman" w:eastAsia="Times New Roman" w:hAnsi="Times New Roman" w:cs="Times New Roman"/>
          <w:color w:val="000000"/>
        </w:rPr>
        <w:lastRenderedPageBreak/>
        <w:t>kulit dengan sabun dan air mengalir. Jangan diamkan kulit terlalu lama bersentuhan dengan metal. Segera Jauhi apabila terjadi sengatan arus pendek.</w:t>
      </w:r>
    </w:p>
    <w:p w14:paraId="38A85D3C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2E0DA1AD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pada lampu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5C004110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10CCED24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20B227E4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6DB116F0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gejala, baik akut maupun tertunda : </w:t>
      </w:r>
    </w:p>
    <w:p w14:paraId="3DC9EF79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06F4B938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Indikasi pertolongan medis pertama dan perawatan khusus yang diperlukan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5725F06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3FB46689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06CE6B44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7F5CCD8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6BC05CB3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4DB11DE3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1ED465CF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55526F98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568FF94D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6C5BEC11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1D7C3400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40E3A629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786A5BA4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234AA03C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0F1E8CE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5B7CD37E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5ECA6C81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Praktik bedah yang aman. Tidak makan, minum dan merokok di area kerja. Hindari kontak dan kontaminasi dengan kulit, mata dan pakaian. Pelajari petunjuk penggunaan.</w:t>
      </w:r>
    </w:p>
    <w:p w14:paraId="16B16D1A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FB348ED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C0174B5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EE6F79B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6DB5C375" w14:textId="77777777" w:rsidR="004D07E2" w:rsidRDefault="004D07E2" w:rsidP="004D07E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71184AA6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4D07E2" w14:paraId="3B2EE814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BF4B8E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666D788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32672CD0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4D07E2" w14:paraId="23488A38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18A09CE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77A6E2B3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5853D613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4D07E2" w14:paraId="2832D546" w14:textId="77777777" w:rsidTr="002651FD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0EB4EB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4E37FAE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4A06440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4D07E2" w14:paraId="4D292F2E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12CB918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6BC59F50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177DB8D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4D07E2" w14:paraId="68A50438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003C317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6B6018D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60A658AE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0C9982D1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D9FBF99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14860F9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76113134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2DCE4571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83C473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8416A4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5656486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101CEFAD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D4AD4F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1AD81A0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6F6BA81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4D07E2" w14:paraId="3CDF7497" w14:textId="77777777" w:rsidTr="002651FD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12367A3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064B9D0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DD2D91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4D07E2" w14:paraId="5961E036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3889CE5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0AF7E77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376A341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7EA5E9D9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AE34B2A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1CC7520B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25A323EC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795AA35A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093739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02985642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2931DF92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4D07E2" w14:paraId="32CFA1E8" w14:textId="77777777" w:rsidTr="002651FD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539B732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235CA9D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54AAAD85" w14:textId="77777777" w:rsidR="004D07E2" w:rsidRDefault="004D07E2" w:rsidP="002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62830BE8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586CC02F" w14:textId="77777777" w:rsidR="004D07E2" w:rsidRDefault="004D07E2" w:rsidP="004D0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F15C368" w14:textId="77777777" w:rsidR="004D07E2" w:rsidRPr="00D84628" w:rsidRDefault="004D07E2" w:rsidP="004D07E2"/>
    <w:p w14:paraId="60F6620B" w14:textId="77777777" w:rsidR="004D07E2" w:rsidRDefault="004D07E2" w:rsidP="004D07E2"/>
    <w:p w14:paraId="671C2419" w14:textId="77777777" w:rsidR="004D07E2" w:rsidRDefault="004D07E2" w:rsidP="004D07E2"/>
    <w:p w14:paraId="3DA1C6B2" w14:textId="77777777" w:rsidR="004D07E2" w:rsidRDefault="004D07E2" w:rsidP="004D07E2"/>
    <w:p w14:paraId="02507EEC" w14:textId="77777777" w:rsidR="004D07E2" w:rsidRDefault="004D07E2" w:rsidP="004D07E2">
      <w:pPr>
        <w:pStyle w:val="Title"/>
        <w:spacing w:before="0" w:line="360" w:lineRule="auto"/>
        <w:ind w:left="0" w:right="119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60D4610D" w14:textId="77777777" w:rsidR="004D07E2" w:rsidRDefault="004D07E2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</w:p>
    <w:p w14:paraId="57383C2B" w14:textId="77777777" w:rsidR="004D07E2" w:rsidRDefault="004D07E2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</w:p>
    <w:p w14:paraId="13A2E1D6" w14:textId="4E9C24AF" w:rsidR="00E210C9" w:rsidRDefault="009402E5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6E270F58" w:rsidR="00E210C9" w:rsidRDefault="009402E5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 xml:space="preserve">ZOI Faraday Series Ceiling pendant </w:t>
      </w:r>
      <w:r w:rsidR="00033E55">
        <w:rPr>
          <w:rFonts w:ascii="Times New Roman" w:eastAsia="Times New Roman" w:hAnsi="Times New Roman" w:cs="Times New Roman"/>
        </w:rPr>
        <w:t>Electric</w:t>
      </w:r>
      <w:r w:rsidR="00FC4722" w:rsidRPr="00FC4722">
        <w:rPr>
          <w:rFonts w:ascii="Times New Roman" w:eastAsia="Times New Roman" w:hAnsi="Times New Roman" w:cs="Times New Roman"/>
        </w:rPr>
        <w:t xml:space="preserve"> </w:t>
      </w:r>
      <w:r w:rsidR="005E26A1">
        <w:rPr>
          <w:rFonts w:ascii="Times New Roman" w:eastAsia="Times New Roman" w:hAnsi="Times New Roman" w:cs="Times New Roman"/>
        </w:rPr>
        <w:t>Double Arm For Surgical</w:t>
      </w:r>
    </w:p>
    <w:p w14:paraId="5D5D4920" w14:textId="2AD82D8E" w:rsidR="00E210C9" w:rsidRDefault="009402E5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</w:t>
      </w:r>
      <w:r w:rsidR="00033E55">
        <w:rPr>
          <w:rFonts w:ascii="Times New Roman" w:eastAsia="Times New Roman" w:hAnsi="Times New Roman" w:cs="Times New Roman"/>
        </w:rPr>
        <w:t>E</w:t>
      </w:r>
      <w:r w:rsidR="00FC4722" w:rsidRPr="00FC4722">
        <w:rPr>
          <w:rFonts w:ascii="Times New Roman" w:eastAsia="Times New Roman" w:hAnsi="Times New Roman" w:cs="Times New Roman"/>
        </w:rPr>
        <w:t>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00</w:t>
      </w:r>
    </w:p>
    <w:p w14:paraId="5ECB3ED8" w14:textId="5A29E418" w:rsidR="00E210C9" w:rsidRDefault="009402E5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Penggunaan: </w:t>
      </w:r>
      <w:r w:rsidR="0056278B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5E26A1">
        <w:rPr>
          <w:rFonts w:ascii="Times New Roman" w:eastAsia="Times New Roman" w:hAnsi="Times New Roman" w:cs="Times New Roman"/>
        </w:rPr>
        <w:t>Double Arm For Surgical</w:t>
      </w:r>
      <w:r w:rsidR="00F556F1" w:rsidRPr="00F556F1">
        <w:rPr>
          <w:rFonts w:ascii="Times New Roman" w:eastAsia="Times New Roman" w:hAnsi="Times New Roman" w:cs="Times New Roman"/>
        </w:rPr>
        <w:t xml:space="preserve"> merupakan alat bantu bedah berupa pendant yang dirancang untuk mendukung peralatan medis lain di ruang operasi. Terdapat fitur pada produk ini diantaranya: instrument bracker, gas terminal, keranjang eksternal, network interface, intercom, dan power socket. Dilengkapi dengan sistem pengereman </w:t>
      </w:r>
      <w:r w:rsidR="0064398B">
        <w:rPr>
          <w:rFonts w:ascii="Times New Roman" w:eastAsia="Times New Roman" w:hAnsi="Times New Roman" w:cs="Times New Roman"/>
        </w:rPr>
        <w:t>pneumatik</w:t>
      </w:r>
      <w:r w:rsidR="00F556F1" w:rsidRPr="00F556F1">
        <w:rPr>
          <w:rFonts w:ascii="Times New Roman" w:eastAsia="Times New Roman" w:hAnsi="Times New Roman" w:cs="Times New Roman"/>
        </w:rPr>
        <w:t xml:space="preserve"> untuk respon yang lebih cepat dan </w:t>
      </w:r>
      <w:r w:rsidR="00E752B5">
        <w:rPr>
          <w:rFonts w:ascii="Times New Roman" w:eastAsia="Times New Roman" w:hAnsi="Times New Roman" w:cs="Times New Roman"/>
        </w:rPr>
        <w:t>dapat mengoperasikan arm secara verti</w:t>
      </w:r>
      <w:r w:rsidR="00053F6B">
        <w:rPr>
          <w:rFonts w:ascii="Times New Roman" w:eastAsia="Times New Roman" w:hAnsi="Times New Roman" w:cs="Times New Roman"/>
        </w:rPr>
        <w:t>k</w:t>
      </w:r>
      <w:r w:rsidR="00E752B5">
        <w:rPr>
          <w:rFonts w:ascii="Times New Roman" w:eastAsia="Times New Roman" w:hAnsi="Times New Roman" w:cs="Times New Roman"/>
        </w:rPr>
        <w:t xml:space="preserve">al </w:t>
      </w:r>
      <w:r w:rsidR="00F556F1" w:rsidRPr="00F556F1">
        <w:rPr>
          <w:rFonts w:ascii="Times New Roman" w:eastAsia="Times New Roman" w:hAnsi="Times New Roman" w:cs="Times New Roman"/>
        </w:rPr>
        <w:t>yang dikendalikan oleh tombol pada baki.</w:t>
      </w:r>
    </w:p>
    <w:p w14:paraId="3636C5BA" w14:textId="77777777" w:rsidR="00E210C9" w:rsidRDefault="009402E5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Kawasan Industri Delta Silicon 3, Jl Pinang Blok F23-15B, Cikarang, Jawa Barat 17530 - Indonesia</w:t>
      </w:r>
    </w:p>
    <w:p w14:paraId="7E7C3F13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9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F8CAF3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32ABFCC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Zat/bahan kimia: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Komponen berbahaya: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784AC45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75C21AA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54845697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Peringatan: </w:t>
      </w:r>
    </w:p>
    <w:p w14:paraId="73FAC4E8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Resiko: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Keamanan: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6ADD813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</w:p>
    <w:p w14:paraId="764720FF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21C9DD83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: </w:t>
      </w:r>
    </w:p>
    <w:p w14:paraId="58439C44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34CEC6F4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: </w:t>
      </w:r>
    </w:p>
    <w:p w14:paraId="7BB347D8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D81511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Kontak kulit :</w:t>
      </w:r>
    </w:p>
    <w:p w14:paraId="27AD00B9" w14:textId="02C43B59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</w:t>
      </w:r>
      <w:r>
        <w:rPr>
          <w:rFonts w:ascii="Times New Roman" w:eastAsia="Times New Roman" w:hAnsi="Times New Roman" w:cs="Times New Roman"/>
          <w:color w:val="000000"/>
        </w:rPr>
        <w:t>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3B3B968D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Hindari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 untuk menganggulangi </w:t>
      </w:r>
      <w:r w:rsidR="00592BD0">
        <w:rPr>
          <w:rFonts w:ascii="Times New Roman" w:eastAsia="Times New Roman" w:hAnsi="Times New Roman" w:cs="Times New Roman"/>
          <w:color w:val="000000"/>
        </w:rPr>
        <w:t xml:space="preserve">apabila terdapat serpihan dari </w:t>
      </w:r>
      <w:r w:rsidR="00592BD0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Segera konsultasi dengan dokter apabila terjadi iritasi akibat paparan cahaya langsung secara dekat dan lama.</w:t>
      </w:r>
    </w:p>
    <w:p w14:paraId="2D4B2DA6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 </w:t>
      </w:r>
    </w:p>
    <w:p w14:paraId="13B0EAAA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Kumpulan gejala, baik akut maupun tertunda : </w:t>
      </w:r>
    </w:p>
    <w:p w14:paraId="05273F32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4DB026EC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Indikasi pertolongan medis pertama dan perawatan khusus yang diperlukan : </w:t>
      </w:r>
    </w:p>
    <w:p w14:paraId="79D209B1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09CAC2F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42A6345A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r>
        <w:rPr>
          <w:rFonts w:ascii="Times New Roman" w:eastAsia="Times New Roman" w:hAnsi="Times New Roman" w:cs="Times New Roman"/>
          <w:b/>
          <w:color w:val="000000"/>
        </w:rPr>
        <w:t>Pemadaman Kebakaran.</w:t>
      </w:r>
    </w:p>
    <w:p w14:paraId="7D334A7E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536DD308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745BD1D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  <w:t xml:space="preserve">Tindakan pencegahan pribadi, alat pelindung dan prosedur darurat: </w:t>
      </w:r>
    </w:p>
    <w:p w14:paraId="6025652C" w14:textId="28DEF03F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 w:hanging="3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</w:t>
      </w:r>
      <w:r>
        <w:rPr>
          <w:rFonts w:ascii="Times New Roman" w:eastAsia="Times New Roman" w:hAnsi="Times New Roman" w:cs="Times New Roman"/>
          <w:color w:val="000000"/>
        </w:rPr>
        <w:t xml:space="preserve"> dan pastikan steril. Pastikan ventilasi yang memadai.</w:t>
      </w:r>
    </w:p>
    <w:p w14:paraId="15A71FAE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32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lingkungan: </w:t>
      </w:r>
    </w:p>
    <w:p w14:paraId="47770FC1" w14:textId="19E38AB7" w:rsidR="00E210C9" w:rsidRDefault="00C204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penangkalan dan pembersih: </w:t>
      </w:r>
    </w:p>
    <w:p w14:paraId="63099934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2474C77" w14:textId="77777777" w:rsidR="00E210C9" w:rsidRDefault="009402E5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44D2C47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 dan Penyimpanan</w:t>
      </w:r>
    </w:p>
    <w:p w14:paraId="1FA8585E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Praktik bedah yang aman. Tidak makan, minum</w:t>
      </w:r>
      <w:r>
        <w:rPr>
          <w:rFonts w:ascii="Times New Roman" w:eastAsia="Times New Roman" w:hAnsi="Times New Roman" w:cs="Times New Roman"/>
          <w:color w:val="000000"/>
        </w:rPr>
        <w:t xml:space="preserve">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3E191BF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9FDB38C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Produk dapat dikirim dan disimpan pada suhu ruang hingga tanggal </w:t>
      </w:r>
      <w:r>
        <w:rPr>
          <w:rFonts w:ascii="Times New Roman" w:eastAsia="Times New Roman" w:hAnsi="Times New Roman" w:cs="Times New Roman"/>
          <w:color w:val="000000"/>
        </w:rPr>
        <w:t>kedaluwarsa yang tertera pada label. Hindari penyimpanan di dekat sumber panas dan jauhkan dari sinar matahari.</w:t>
      </w:r>
    </w:p>
    <w:p w14:paraId="04DDC2FA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3601B38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9402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9402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Jika terdapat sifat Fisika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940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437C5" w14:textId="77777777" w:rsidR="00225DC1" w:rsidRDefault="00225DC1">
      <w:pPr>
        <w:spacing w:after="0" w:line="240" w:lineRule="auto"/>
      </w:pPr>
      <w:r>
        <w:separator/>
      </w:r>
    </w:p>
  </w:endnote>
  <w:endnote w:type="continuationSeparator" w:id="0">
    <w:p w14:paraId="19F59195" w14:textId="77777777" w:rsidR="00225DC1" w:rsidRDefault="002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EA3FE" w14:textId="77777777" w:rsidR="00225DC1" w:rsidRDefault="00225DC1">
      <w:pPr>
        <w:spacing w:after="0" w:line="240" w:lineRule="auto"/>
      </w:pPr>
      <w:r>
        <w:separator/>
      </w:r>
    </w:p>
  </w:footnote>
  <w:footnote w:type="continuationSeparator" w:id="0">
    <w:p w14:paraId="1D25B661" w14:textId="77777777" w:rsidR="00225DC1" w:rsidRDefault="002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9402E5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33E55"/>
    <w:rsid w:val="00053F6B"/>
    <w:rsid w:val="001E124D"/>
    <w:rsid w:val="001F5BAE"/>
    <w:rsid w:val="0020195F"/>
    <w:rsid w:val="002076C6"/>
    <w:rsid w:val="00225DC1"/>
    <w:rsid w:val="00227675"/>
    <w:rsid w:val="002718A9"/>
    <w:rsid w:val="002B1CAE"/>
    <w:rsid w:val="002C2D19"/>
    <w:rsid w:val="002D0469"/>
    <w:rsid w:val="003069DA"/>
    <w:rsid w:val="0034705B"/>
    <w:rsid w:val="0040378C"/>
    <w:rsid w:val="00425CBF"/>
    <w:rsid w:val="00466FFC"/>
    <w:rsid w:val="004D07E2"/>
    <w:rsid w:val="00547430"/>
    <w:rsid w:val="0056278B"/>
    <w:rsid w:val="00592BD0"/>
    <w:rsid w:val="005A65B3"/>
    <w:rsid w:val="005C189E"/>
    <w:rsid w:val="005E26A1"/>
    <w:rsid w:val="0064398B"/>
    <w:rsid w:val="006F6D91"/>
    <w:rsid w:val="00756F9B"/>
    <w:rsid w:val="007C5D62"/>
    <w:rsid w:val="008A65C1"/>
    <w:rsid w:val="009402E5"/>
    <w:rsid w:val="00966393"/>
    <w:rsid w:val="0099670A"/>
    <w:rsid w:val="00A366F6"/>
    <w:rsid w:val="00AE0E9E"/>
    <w:rsid w:val="00B30999"/>
    <w:rsid w:val="00B521AD"/>
    <w:rsid w:val="00C06B4C"/>
    <w:rsid w:val="00C204F1"/>
    <w:rsid w:val="00D52B5C"/>
    <w:rsid w:val="00E210C9"/>
    <w:rsid w:val="00E24854"/>
    <w:rsid w:val="00E64E9E"/>
    <w:rsid w:val="00E752B5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t.chcmultimanufaktur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43</cp:revision>
  <dcterms:created xsi:type="dcterms:W3CDTF">2023-07-03T04:33:00Z</dcterms:created>
  <dcterms:modified xsi:type="dcterms:W3CDTF">2024-09-27T02:24:00Z</dcterms:modified>
</cp:coreProperties>
</file>