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00000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461E4090" w14:textId="5598BC6E" w:rsidR="009C24A5" w:rsidRDefault="009C24A5" w:rsidP="007E71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9C24A5">
        <w:rPr>
          <w:rFonts w:ascii="Times New Roman" w:eastAsia="Times New Roman" w:hAnsi="Times New Roman" w:cs="Times New Roman"/>
          <w:b/>
          <w:bCs/>
        </w:rPr>
        <w:t xml:space="preserve">ZOI Faraday Series Ceiling pendant Electromagnetic </w:t>
      </w:r>
      <w:r w:rsidR="00EF0A1B">
        <w:rPr>
          <w:rFonts w:ascii="Times New Roman" w:eastAsia="Times New Roman" w:hAnsi="Times New Roman" w:cs="Times New Roman"/>
          <w:b/>
          <w:bCs/>
        </w:rPr>
        <w:t>Double Arm For Surgical</w:t>
      </w:r>
    </w:p>
    <w:p w14:paraId="6F4D729F" w14:textId="317EA2AF" w:rsidR="007E7142" w:rsidRDefault="00445F4F" w:rsidP="007E71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445F4F">
        <w:rPr>
          <w:rFonts w:ascii="Times New Roman" w:eastAsia="Times New Roman" w:hAnsi="Times New Roman" w:cs="Times New Roman"/>
          <w:b/>
          <w:lang w:val="en-US"/>
        </w:rPr>
        <w:t>ZOI-CP-FEM-1200</w:t>
      </w:r>
    </w:p>
    <w:p w14:paraId="0944AE46" w14:textId="77777777" w:rsidR="00B87BC2" w:rsidRDefault="00B87BC2" w:rsidP="007E71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18093D03" w14:textId="0F0E7A46" w:rsidR="00A04E68" w:rsidRDefault="00D530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ZOI Faraday Series Ceiling pendant Electromagnetic </w:t>
      </w:r>
      <w:r w:rsidR="00EF0A1B">
        <w:rPr>
          <w:rFonts w:ascii="Times New Roman" w:eastAsia="Times New Roman" w:hAnsi="Times New Roman" w:cs="Times New Roman"/>
          <w:color w:val="000000"/>
          <w:lang w:val="en-US"/>
        </w:rPr>
        <w:t xml:space="preserve">Double Arm </w:t>
      </w:r>
      <w:proofErr w:type="gramStart"/>
      <w:r w:rsidR="00EF0A1B">
        <w:rPr>
          <w:rFonts w:ascii="Times New Roman" w:eastAsia="Times New Roman" w:hAnsi="Times New Roman" w:cs="Times New Roman"/>
          <w:color w:val="000000"/>
          <w:lang w:val="en-US"/>
        </w:rPr>
        <w:t>For</w:t>
      </w:r>
      <w:proofErr w:type="gramEnd"/>
      <w:r w:rsidR="00EF0A1B">
        <w:rPr>
          <w:rFonts w:ascii="Times New Roman" w:eastAsia="Times New Roman" w:hAnsi="Times New Roman" w:cs="Times New Roman"/>
          <w:color w:val="000000"/>
          <w:lang w:val="en-US"/>
        </w:rPr>
        <w:t xml:space="preserve"> Surgical</w:t>
      </w:r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alat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bantu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berupa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pendant yang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dirancang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mendukung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peralatan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medis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lain di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Terdapat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fitur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diantaranya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: instrument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bracker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, gas terminal,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keranjang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eksternal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, network interface, intercom, dan power socket.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sistem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elektromagnetik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respon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cepat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pengoperasian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aman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dikendalikan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oleh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tombol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 xml:space="preserve"> pada </w:t>
      </w:r>
      <w:proofErr w:type="spellStart"/>
      <w:r w:rsidRPr="00D53077">
        <w:rPr>
          <w:rFonts w:ascii="Times New Roman" w:eastAsia="Times New Roman" w:hAnsi="Times New Roman" w:cs="Times New Roman"/>
          <w:color w:val="000000"/>
          <w:lang w:val="en-US"/>
        </w:rPr>
        <w:t>baki</w:t>
      </w:r>
      <w:proofErr w:type="spellEnd"/>
      <w:r w:rsidRPr="00D53077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18082D1D" w14:textId="77777777" w:rsidR="001E12FB" w:rsidRDefault="001E12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6A8542F6" w:rsidR="00311E3A" w:rsidRDefault="00E81BCD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EF0A1B">
        <w:rPr>
          <w:rFonts w:ascii="Times New Roman" w:eastAsia="Times New Roman" w:hAnsi="Times New Roman" w:cs="Times New Roman"/>
          <w:color w:val="000000"/>
        </w:rPr>
        <w:t>Double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digunakan diruang operasi, ruang gawat darurat, dan bangsal ICU yang</w:t>
      </w:r>
      <w:r w:rsidR="00BE3D7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bersih, dan lain-lain. Perangkat ini juga digunakan untuk menyediakan daya, gas medis, pemurnian gas</w:t>
      </w:r>
      <w:r w:rsidR="000213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 xml:space="preserve">anestesi, antarmuka informasi, dan lain-lain. 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F770AC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2500184D" w:rsidR="00F770AC" w:rsidRPr="00C70E90" w:rsidRDefault="00F770AC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ZOI-CP-FE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</w:t>
            </w: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</w:t>
            </w: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00</w:t>
            </w:r>
          </w:p>
        </w:tc>
        <w:tc>
          <w:tcPr>
            <w:tcW w:w="4443" w:type="dxa"/>
          </w:tcPr>
          <w:p w14:paraId="75EF7037" w14:textId="1AFC2882" w:rsidR="00F770AC" w:rsidRDefault="00F770AC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6AABFFE" wp14:editId="33A67B33">
                  <wp:extent cx="2530896" cy="3152775"/>
                  <wp:effectExtent l="0" t="0" r="0" b="0"/>
                  <wp:docPr id="871992475" name="Picture 87199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142" cy="316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F770AC" w:rsidRDefault="00F770AC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F770AC" w:rsidRDefault="00F770AC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2423FC54" w:rsidR="00F770AC" w:rsidRDefault="00F770AC" w:rsidP="00F77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30227">
              <w:rPr>
                <w:rFonts w:ascii="Times New Roman" w:hAnsi="Times New Roman" w:cs="Times New Roman"/>
                <w:lang w:val="en-US"/>
              </w:rPr>
              <w:t xml:space="preserve">ZOI Faraday Series Ceiling pendant Electromagnetic </w:t>
            </w:r>
            <w:r w:rsidR="00EF0A1B">
              <w:rPr>
                <w:rFonts w:ascii="Times New Roman" w:hAnsi="Times New Roman" w:cs="Times New Roman"/>
                <w:lang w:val="en-US"/>
              </w:rPr>
              <w:t xml:space="preserve">Double Arm </w:t>
            </w:r>
            <w:proofErr w:type="gramStart"/>
            <w:r w:rsidR="00EF0A1B">
              <w:rPr>
                <w:rFonts w:ascii="Times New Roman" w:hAnsi="Times New Roman" w:cs="Times New Roman"/>
                <w:lang w:val="en-US"/>
              </w:rPr>
              <w:t>For</w:t>
            </w:r>
            <w:proofErr w:type="gramEnd"/>
            <w:r w:rsidR="00EF0A1B">
              <w:rPr>
                <w:rFonts w:ascii="Times New Roman" w:hAnsi="Times New Roman" w:cs="Times New Roman"/>
                <w:lang w:val="en-US"/>
              </w:rPr>
              <w:t xml:space="preserve"> Surgical</w:t>
            </w:r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bantu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pendant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dirancang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mendukung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peralatan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lain di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pada produk ini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diantaranya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: instrument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bracker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, gas terminal,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keranjang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eksternal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, network interface, intercom, dan power socket.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elektromagnetik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respon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cepat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pengoperasian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aman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dikendalikan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baki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45A8A579" w14:textId="60FD75F1" w:rsidR="006D3FA0" w:rsidRDefault="00E81BCD" w:rsidP="006D3F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EF0A1B">
        <w:rPr>
          <w:rFonts w:ascii="Times New Roman" w:eastAsia="Times New Roman" w:hAnsi="Times New Roman" w:cs="Times New Roman"/>
          <w:color w:val="000000"/>
        </w:rPr>
        <w:t>Double Arm For Surgical</w:t>
      </w:r>
      <w:r w:rsidR="007609E7" w:rsidRPr="007609E7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terdiri dari berbagai jenis alas, lengan ayun, atau kantilever, kolom dan</w:t>
      </w:r>
      <w:r w:rsidR="006D3FA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aksesoris.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dan system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pengeraman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C534E">
        <w:rPr>
          <w:rFonts w:ascii="Times New Roman" w:eastAsia="Times New Roman" w:hAnsi="Times New Roman" w:cs="Times New Roman"/>
          <w:color w:val="000000"/>
          <w:lang w:val="en-US"/>
        </w:rPr>
        <w:t>electromagnetic</w:t>
      </w:r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354EDC">
        <w:rPr>
          <w:rFonts w:ascii="Times New Roman" w:eastAsia="Times New Roman" w:hAnsi="Times New Roman" w:cs="Times New Roman"/>
          <w:color w:val="000000"/>
          <w:lang w:val="en-US"/>
        </w:rPr>
        <w:t>pneumatik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Kolom dapat menyediakan berbagai sumber gas, sumber daya, antarmuka informasi, dan</w:t>
      </w:r>
      <w:r w:rsidR="00F953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menyediakan platform kerja untuk instrumen medis.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EF0A1B">
        <w:rPr>
          <w:rFonts w:ascii="Times New Roman" w:eastAsia="Times New Roman" w:hAnsi="Times New Roman" w:cs="Times New Roman"/>
          <w:color w:val="000000"/>
        </w:rPr>
        <w:t>Double Arm For Surgical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dapat bergerak dalam ruang tertentu untuk memenuhi kebutuhan penggunaan diberbagai arah,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sehingga dapat melayani pengobatan secara maksimal.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EF0A1B">
        <w:rPr>
          <w:rFonts w:ascii="Times New Roman" w:eastAsia="Times New Roman" w:hAnsi="Times New Roman" w:cs="Times New Roman"/>
          <w:color w:val="000000"/>
        </w:rPr>
        <w:t>Double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adalah peralatan tambahan yang diperlukan agar dapat diakses pada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lingkungan medis.</w:t>
      </w:r>
    </w:p>
    <w:p w14:paraId="53FCCA16" w14:textId="77777777" w:rsidR="00CA357A" w:rsidRPr="00CA357A" w:rsidRDefault="00CA357A" w:rsidP="00570B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53615572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E81BCD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EF0A1B">
        <w:rPr>
          <w:rFonts w:ascii="Times New Roman" w:eastAsia="Times New Roman" w:hAnsi="Times New Roman" w:cs="Times New Roman"/>
          <w:color w:val="000000"/>
        </w:rPr>
        <w:t>Double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F85FB9" w:rsidRPr="00347AE5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 Ada basis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pondasi sumbu Tunggal dan basis pondasi sumbu ganda.</w:t>
      </w:r>
    </w:p>
    <w:p w14:paraId="3FD29A8F" w14:textId="77777777" w:rsidR="00F73A06" w:rsidRPr="00F73A06" w:rsidRDefault="00F73A06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Memutar lengan (</w:t>
      </w:r>
      <w:r w:rsidRPr="0089009B">
        <w:rPr>
          <w:rFonts w:ascii="Times New Roman" w:eastAsia="Times New Roman" w:hAnsi="Times New Roman" w:cs="Times New Roman"/>
          <w:i/>
          <w:iCs/>
          <w:color w:val="000000"/>
        </w:rPr>
        <w:t>Rotating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26018F40" w:rsidR="00F73A06" w:rsidRPr="00F73A06" w:rsidRDefault="00F73A06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Struktur </w:t>
      </w:r>
      <w:r w:rsidR="00E81BCD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EF0A1B">
        <w:rPr>
          <w:rFonts w:ascii="Times New Roman" w:eastAsia="Times New Roman" w:hAnsi="Times New Roman" w:cs="Times New Roman"/>
          <w:color w:val="000000"/>
        </w:rPr>
        <w:t>Double Arm For Surgical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memiliki </w:t>
      </w:r>
      <w:proofErr w:type="spellStart"/>
      <w:r w:rsidR="00821D03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proofErr w:type="spellEnd"/>
      <w:r w:rsidR="002704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7049D">
        <w:rPr>
          <w:rFonts w:ascii="Times New Roman" w:eastAsia="Times New Roman" w:hAnsi="Times New Roman" w:cs="Times New Roman"/>
          <w:color w:val="000000"/>
          <w:lang w:val="en-US"/>
        </w:rPr>
        <w:t>komponen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>. Panjang lengan adalah</w:t>
      </w:r>
      <w:r w:rsidR="005D4FC9">
        <w:rPr>
          <w:rFonts w:ascii="Times New Roman" w:eastAsia="Times New Roman" w:hAnsi="Times New Roman" w:cs="Times New Roman"/>
          <w:color w:val="000000"/>
          <w:lang w:val="en-US"/>
        </w:rPr>
        <w:t xml:space="preserve"> 800 mm +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</w:t>
      </w:r>
      <w:r w:rsidR="00FC3A35">
        <w:rPr>
          <w:rFonts w:ascii="Times New Roman" w:eastAsia="Times New Roman" w:hAnsi="Times New Roman" w:cs="Times New Roman"/>
          <w:color w:val="000000"/>
          <w:lang w:val="en-US"/>
        </w:rPr>
        <w:t>1066</w:t>
      </w:r>
      <w:r w:rsidR="00945F63">
        <w:rPr>
          <w:rFonts w:ascii="Times New Roman" w:eastAsia="Times New Roman" w:hAnsi="Times New Roman" w:cs="Times New Roman"/>
          <w:color w:val="000000"/>
          <w:lang w:val="en-US"/>
        </w:rPr>
        <w:t xml:space="preserve"> mm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system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442CCC">
        <w:rPr>
          <w:rFonts w:ascii="Times New Roman" w:eastAsia="Times New Roman" w:hAnsi="Times New Roman" w:cs="Times New Roman"/>
          <w:color w:val="000000"/>
          <w:lang w:val="en-US"/>
        </w:rPr>
        <w:t>elektromagnetik</w:t>
      </w:r>
      <w:proofErr w:type="spellEnd"/>
      <w:r w:rsidR="00442CC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dan </w:t>
      </w:r>
      <w:proofErr w:type="spellStart"/>
      <w:r w:rsidR="00442CCC">
        <w:rPr>
          <w:rFonts w:ascii="Times New Roman" w:eastAsia="Times New Roman" w:hAnsi="Times New Roman" w:cs="Times New Roman"/>
          <w:color w:val="000000"/>
          <w:lang w:val="en-US"/>
        </w:rPr>
        <w:t>pneumatik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9F64E0">
        <w:rPr>
          <w:rFonts w:ascii="Times New Roman" w:eastAsia="Times New Roman" w:hAnsi="Times New Roman" w:cs="Times New Roman"/>
          <w:color w:val="000000"/>
        </w:rPr>
        <w:t>Panjang</w:t>
      </w:r>
      <w:r w:rsidR="00067C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67C28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 xml:space="preserve">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5ADC6D48" w14:textId="74F8B5E3" w:rsidR="00F73A06" w:rsidRPr="00F73A06" w:rsidRDefault="00F73A06" w:rsidP="008900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Fungsi Kolom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Function Coloumn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CED0934" w14:textId="070DE5A8" w:rsidR="00B23CDD" w:rsidRPr="00CA357A" w:rsidRDefault="00F73A06" w:rsidP="00F73A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Kolom </w:t>
      </w:r>
      <w:r w:rsidR="00E81BCD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EF0A1B">
        <w:rPr>
          <w:rFonts w:ascii="Times New Roman" w:eastAsia="Times New Roman" w:hAnsi="Times New Roman" w:cs="Times New Roman"/>
          <w:color w:val="000000"/>
        </w:rPr>
        <w:t>Double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memiliki </w:t>
      </w:r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600 – 1000 mm yang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disesuaikan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>.</w:t>
      </w:r>
      <w:r w:rsidR="003D157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66009"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Pr="00F73A06">
        <w:rPr>
          <w:rFonts w:ascii="Times New Roman" w:eastAsia="Times New Roman" w:hAnsi="Times New Roman" w:cs="Times New Roman"/>
          <w:color w:val="000000"/>
        </w:rPr>
        <w:t>truktur</w:t>
      </w:r>
      <w:r w:rsidR="00146B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81BCD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EF0A1B">
        <w:rPr>
          <w:rFonts w:ascii="Times New Roman" w:eastAsia="Times New Roman" w:hAnsi="Times New Roman" w:cs="Times New Roman"/>
          <w:color w:val="000000"/>
        </w:rPr>
        <w:t xml:space="preserve">Double Arm For </w:t>
      </w:r>
      <w:proofErr w:type="gramStart"/>
      <w:r w:rsidR="00EF0A1B">
        <w:rPr>
          <w:rFonts w:ascii="Times New Roman" w:eastAsia="Times New Roman" w:hAnsi="Times New Roman" w:cs="Times New Roman"/>
          <w:color w:val="000000"/>
        </w:rPr>
        <w:t>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1A0F6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dibagi</w:t>
      </w:r>
      <w:proofErr w:type="gramEnd"/>
      <w:r w:rsidRPr="00F73A06">
        <w:rPr>
          <w:rFonts w:ascii="Times New Roman" w:eastAsia="Times New Roman" w:hAnsi="Times New Roman" w:cs="Times New Roman"/>
          <w:color w:val="000000"/>
        </w:rPr>
        <w:t xml:space="preserve"> menjadi kolom suplai anestesi, kolom suplai bedah, kolom suplai endoskopi,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dan kolom suplai ICU dll. Platform pasokan dapat dilengkapi dengan platform instrumen, dudukan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infus, dan pemantauan dudukan, lengan ventilator, dan aksesori lainnya. </w:t>
      </w:r>
    </w:p>
    <w:sectPr w:rsidR="00B23CDD" w:rsidRPr="00CA3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C94C" w14:textId="77777777" w:rsidR="00B55287" w:rsidRDefault="00B55287">
      <w:r>
        <w:separator/>
      </w:r>
    </w:p>
  </w:endnote>
  <w:endnote w:type="continuationSeparator" w:id="0">
    <w:p w14:paraId="012BAF49" w14:textId="77777777" w:rsidR="00B55287" w:rsidRDefault="00B5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06D1" w14:textId="77777777" w:rsidR="00B55287" w:rsidRDefault="00B55287">
      <w:r>
        <w:separator/>
      </w:r>
    </w:p>
  </w:footnote>
  <w:footnote w:type="continuationSeparator" w:id="0">
    <w:p w14:paraId="69789361" w14:textId="77777777" w:rsidR="00B55287" w:rsidRDefault="00B5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00000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21307"/>
    <w:rsid w:val="00037F24"/>
    <w:rsid w:val="000622C0"/>
    <w:rsid w:val="00067C28"/>
    <w:rsid w:val="00094824"/>
    <w:rsid w:val="00107F0D"/>
    <w:rsid w:val="00110142"/>
    <w:rsid w:val="00130FCF"/>
    <w:rsid w:val="00146B96"/>
    <w:rsid w:val="0018230A"/>
    <w:rsid w:val="001A0F6E"/>
    <w:rsid w:val="001E12FB"/>
    <w:rsid w:val="001E5E07"/>
    <w:rsid w:val="001F546F"/>
    <w:rsid w:val="002062C7"/>
    <w:rsid w:val="00213791"/>
    <w:rsid w:val="0022133C"/>
    <w:rsid w:val="00224877"/>
    <w:rsid w:val="00256AC0"/>
    <w:rsid w:val="0027049D"/>
    <w:rsid w:val="002A1516"/>
    <w:rsid w:val="002C194E"/>
    <w:rsid w:val="002C1FC8"/>
    <w:rsid w:val="00311E3A"/>
    <w:rsid w:val="00341638"/>
    <w:rsid w:val="003472CF"/>
    <w:rsid w:val="00347AE5"/>
    <w:rsid w:val="00354EDC"/>
    <w:rsid w:val="00386B07"/>
    <w:rsid w:val="003C534E"/>
    <w:rsid w:val="003D157E"/>
    <w:rsid w:val="003D19AA"/>
    <w:rsid w:val="00423A60"/>
    <w:rsid w:val="00442CCC"/>
    <w:rsid w:val="00445F4F"/>
    <w:rsid w:val="004719DB"/>
    <w:rsid w:val="00496C9E"/>
    <w:rsid w:val="00496DA3"/>
    <w:rsid w:val="0049786A"/>
    <w:rsid w:val="00497FE0"/>
    <w:rsid w:val="004F0026"/>
    <w:rsid w:val="005022D3"/>
    <w:rsid w:val="005303B1"/>
    <w:rsid w:val="00531710"/>
    <w:rsid w:val="00532262"/>
    <w:rsid w:val="00570BF6"/>
    <w:rsid w:val="00577D1E"/>
    <w:rsid w:val="00596D2A"/>
    <w:rsid w:val="005B1E81"/>
    <w:rsid w:val="005B4713"/>
    <w:rsid w:val="005C6DCF"/>
    <w:rsid w:val="005D4FC9"/>
    <w:rsid w:val="00672E72"/>
    <w:rsid w:val="00694CAA"/>
    <w:rsid w:val="006D3FA0"/>
    <w:rsid w:val="00705645"/>
    <w:rsid w:val="0074526E"/>
    <w:rsid w:val="0075329D"/>
    <w:rsid w:val="007609E7"/>
    <w:rsid w:val="00777C63"/>
    <w:rsid w:val="00781CBD"/>
    <w:rsid w:val="0078778E"/>
    <w:rsid w:val="007D028E"/>
    <w:rsid w:val="007E135B"/>
    <w:rsid w:val="007E23B5"/>
    <w:rsid w:val="007E7142"/>
    <w:rsid w:val="00821D03"/>
    <w:rsid w:val="0084490C"/>
    <w:rsid w:val="00844DE6"/>
    <w:rsid w:val="00866009"/>
    <w:rsid w:val="0089009B"/>
    <w:rsid w:val="00890D74"/>
    <w:rsid w:val="008C6BD5"/>
    <w:rsid w:val="00902635"/>
    <w:rsid w:val="009201EC"/>
    <w:rsid w:val="00945F63"/>
    <w:rsid w:val="009A15F1"/>
    <w:rsid w:val="009C24A5"/>
    <w:rsid w:val="009E5F45"/>
    <w:rsid w:val="009F64E0"/>
    <w:rsid w:val="00A04E68"/>
    <w:rsid w:val="00A5303B"/>
    <w:rsid w:val="00A86B42"/>
    <w:rsid w:val="00A92585"/>
    <w:rsid w:val="00AC7474"/>
    <w:rsid w:val="00AD3E5A"/>
    <w:rsid w:val="00B13D77"/>
    <w:rsid w:val="00B23CDD"/>
    <w:rsid w:val="00B55287"/>
    <w:rsid w:val="00B572D2"/>
    <w:rsid w:val="00B87BC2"/>
    <w:rsid w:val="00BB3C08"/>
    <w:rsid w:val="00BD1E13"/>
    <w:rsid w:val="00BE3D76"/>
    <w:rsid w:val="00C406C6"/>
    <w:rsid w:val="00C42963"/>
    <w:rsid w:val="00C612A6"/>
    <w:rsid w:val="00C70E90"/>
    <w:rsid w:val="00C858F1"/>
    <w:rsid w:val="00C94D29"/>
    <w:rsid w:val="00CA357A"/>
    <w:rsid w:val="00CF5B9C"/>
    <w:rsid w:val="00D07604"/>
    <w:rsid w:val="00D53077"/>
    <w:rsid w:val="00D54A09"/>
    <w:rsid w:val="00D6006B"/>
    <w:rsid w:val="00D61CC9"/>
    <w:rsid w:val="00DB4301"/>
    <w:rsid w:val="00E81BCD"/>
    <w:rsid w:val="00ED2FDA"/>
    <w:rsid w:val="00EE62B9"/>
    <w:rsid w:val="00EF0A1B"/>
    <w:rsid w:val="00F25604"/>
    <w:rsid w:val="00F34D77"/>
    <w:rsid w:val="00F41C46"/>
    <w:rsid w:val="00F73A06"/>
    <w:rsid w:val="00F770AC"/>
    <w:rsid w:val="00F85FB9"/>
    <w:rsid w:val="00F91D95"/>
    <w:rsid w:val="00F95385"/>
    <w:rsid w:val="00F957C0"/>
    <w:rsid w:val="00FC3A35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74</cp:revision>
  <cp:lastPrinted>2023-11-14T02:02:00Z</cp:lastPrinted>
  <dcterms:created xsi:type="dcterms:W3CDTF">2023-11-22T08:44:00Z</dcterms:created>
  <dcterms:modified xsi:type="dcterms:W3CDTF">2023-12-06T04:28:00Z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