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BD1" w:rsidRDefault="00B25833" w:rsidP="00B25833">
      <w:pPr>
        <w:jc w:val="center"/>
      </w:pPr>
      <w:bookmarkStart w:id="0" w:name="_GoBack"/>
      <w:r>
        <w:t xml:space="preserve">Yale School of Management - </w:t>
      </w:r>
      <w:r w:rsidR="00B30ABC">
        <w:t>MGT404E</w:t>
      </w:r>
      <w:r>
        <w:t xml:space="preserve"> Introduction to Microeconomics</w:t>
      </w:r>
    </w:p>
    <w:p w:rsidR="00B30ABC" w:rsidRDefault="00B30ABC" w:rsidP="00B25833">
      <w:pPr>
        <w:jc w:val="center"/>
      </w:pPr>
      <w:r>
        <w:t>Trade Practice Problem</w:t>
      </w:r>
    </w:p>
    <w:p w:rsidR="007E4768" w:rsidRDefault="007E4768" w:rsidP="00B25833">
      <w:pPr>
        <w:jc w:val="center"/>
      </w:pPr>
      <w:r>
        <w:t>Page 1: questions. Pages 2-3 solutions. Print Page 1 to work through, only check solutions afterwards.</w:t>
      </w:r>
    </w:p>
    <w:bookmarkEnd w:id="0"/>
    <w:p w:rsidR="00B30ABC" w:rsidRDefault="00B30ABC"/>
    <w:p w:rsidR="00B30ABC" w:rsidRDefault="00B30ABC" w:rsidP="00B30ABC">
      <w:r>
        <w:t>The demand for pineapples in Belize is given by:</w:t>
      </w:r>
    </w:p>
    <w:p w:rsidR="00B30ABC" w:rsidRPr="00B30ABC" w:rsidRDefault="00B30ABC" w:rsidP="00B30ABC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=20-P</m:t>
          </m:r>
        </m:oMath>
      </m:oMathPara>
    </w:p>
    <w:p w:rsidR="00B30ABC" w:rsidRPr="00B30ABC" w:rsidRDefault="00B30ABC" w:rsidP="00B30ABC">
      <w:pPr>
        <w:rPr>
          <w:rFonts w:eastAsiaTheme="minorEastAsia"/>
        </w:rPr>
      </w:pPr>
      <w:r w:rsidRPr="00B30ABC">
        <w:rPr>
          <w:rFonts w:eastAsiaTheme="minorEastAsia"/>
        </w:rPr>
        <w:t>And the supply there is given by</w:t>
      </w:r>
    </w:p>
    <w:p w:rsidR="00B30ABC" w:rsidRPr="00B30ABC" w:rsidRDefault="00B30ABC" w:rsidP="00B30ABC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=4P-5</m:t>
          </m:r>
        </m:oMath>
      </m:oMathPara>
    </w:p>
    <w:p w:rsidR="00B30ABC" w:rsidRDefault="00B30ABC" w:rsidP="00B30ABC">
      <w:pPr>
        <w:rPr>
          <w:rFonts w:eastAsiaTheme="minorEastAsia"/>
        </w:rPr>
      </w:pPr>
      <w:r w:rsidRPr="00B30ABC">
        <w:rPr>
          <w:rFonts w:eastAsiaTheme="minorEastAsia"/>
        </w:rPr>
        <w:t xml:space="preserve">Assume Belize is “small” in that it cannot affect the world price of pineapples. </w:t>
      </w:r>
    </w:p>
    <w:p w:rsidR="00B30ABC" w:rsidRDefault="00B30ABC" w:rsidP="00B30ABC">
      <w:pPr>
        <w:pStyle w:val="ListParagraph"/>
        <w:numPr>
          <w:ilvl w:val="0"/>
          <w:numId w:val="2"/>
        </w:numPr>
      </w:pPr>
      <w:r>
        <w:t xml:space="preserve">What are the autarky (no trade) price and quantity of pineapples in Belize? </w:t>
      </w: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B30ABC" w:rsidRPr="00E77F24" w:rsidRDefault="00B30ABC" w:rsidP="00B30ABC">
      <w:pPr>
        <w:pStyle w:val="ListParagraph"/>
        <w:numPr>
          <w:ilvl w:val="0"/>
          <w:numId w:val="2"/>
        </w:numPr>
      </w:pPr>
      <w:r>
        <w:t xml:space="preserve">Suppose free trade prevails and Belize exports 25 pineapples. What must the world price of pineapples be? (Hint: if you’re unsure how to begin, draw the graph. Recall that when we plot these functions, we write them as </w:t>
      </w:r>
      <m:oMath>
        <m:r>
          <w:rPr>
            <w:rFonts w:ascii="Cambria Math" w:hAnsi="Cambria Math"/>
          </w:rPr>
          <m:t>P=…</m:t>
        </m:r>
      </m:oMath>
      <w:r>
        <w:rPr>
          <w:rFonts w:eastAsiaTheme="minorEastAsia"/>
        </w:rPr>
        <w:t>)</w:t>
      </w: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Pr="00B30ABC" w:rsidRDefault="00E77F24" w:rsidP="00E77F24">
      <w:pPr>
        <w:pStyle w:val="ListParagraph"/>
      </w:pPr>
    </w:p>
    <w:p w:rsidR="00B30ABC" w:rsidRPr="00E77F24" w:rsidRDefault="00B30ABC" w:rsidP="00B30ABC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Now Belize places an export subsidy of 5 on each unit of pineapples exported. What are exports now? </w:t>
      </w: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Default="00E77F24" w:rsidP="00E77F24">
      <w:pPr>
        <w:pStyle w:val="ListParagraph"/>
      </w:pPr>
    </w:p>
    <w:p w:rsidR="00E77F24" w:rsidRPr="00B30ABC" w:rsidRDefault="00E77F24" w:rsidP="00E77F24">
      <w:pPr>
        <w:pStyle w:val="ListParagraph"/>
      </w:pPr>
    </w:p>
    <w:p w:rsidR="00B30ABC" w:rsidRPr="00B30ABC" w:rsidRDefault="00B30ABC" w:rsidP="00B30ABC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What is the welfare loss or gain associated with the subsidy? </w:t>
      </w:r>
    </w:p>
    <w:p w:rsidR="00B30ABC" w:rsidRDefault="00B30ABC" w:rsidP="00B30ABC"/>
    <w:p w:rsidR="007E4768" w:rsidRDefault="007E4768" w:rsidP="00B30ABC"/>
    <w:p w:rsidR="007E4768" w:rsidRDefault="007E4768" w:rsidP="00B30ABC"/>
    <w:p w:rsidR="00E77F24" w:rsidRDefault="00E77F24" w:rsidP="00B30ABC"/>
    <w:p w:rsidR="00E77F24" w:rsidRDefault="00E77F24" w:rsidP="00B30ABC">
      <w:r>
        <w:t xml:space="preserve">Advice: Attempt questions and discuss with learning team before ever looking at solutions. </w:t>
      </w:r>
    </w:p>
    <w:p w:rsidR="00B30ABC" w:rsidRDefault="00B30ABC" w:rsidP="00B30ABC">
      <w:pPr>
        <w:rPr>
          <w:b/>
        </w:rPr>
      </w:pPr>
      <w:r w:rsidRPr="00B30ABC">
        <w:rPr>
          <w:b/>
        </w:rPr>
        <w:lastRenderedPageBreak/>
        <w:t>ANSWERS</w:t>
      </w:r>
    </w:p>
    <w:p w:rsidR="00B30ABC" w:rsidRPr="00B30ABC" w:rsidRDefault="00B30ABC" w:rsidP="00B30ABC">
      <w:r>
        <w:rPr>
          <w:b/>
        </w:rPr>
        <w:t>(Always attempt on your own before looking at solutions)</w:t>
      </w:r>
    </w:p>
    <w:p w:rsidR="00B30ABC" w:rsidRDefault="00B30ABC" w:rsidP="00B30ABC">
      <w:pPr>
        <w:pStyle w:val="ListParagraph"/>
        <w:numPr>
          <w:ilvl w:val="0"/>
          <w:numId w:val="6"/>
        </w:numPr>
      </w:pPr>
      <w:r>
        <w:t>Solve for the equilibrium by setting demand = supply</w:t>
      </w:r>
    </w:p>
    <w:p w:rsidR="00B30ABC" w:rsidRPr="00E77F24" w:rsidRDefault="00B30ABC" w:rsidP="00B30ABC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20-P=4P-5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25=5P</m:t>
          </m:r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=$5</m:t>
          </m:r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=15</m:t>
          </m:r>
        </m:oMath>
      </m:oMathPara>
    </w:p>
    <w:p w:rsidR="00E77F24" w:rsidRPr="00B30ABC" w:rsidRDefault="00E77F24" w:rsidP="00B30ABC">
      <w:pPr>
        <w:pStyle w:val="ListParagraph"/>
        <w:rPr>
          <w:rFonts w:eastAsiaTheme="minorEastAsia"/>
        </w:rPr>
      </w:pPr>
    </w:p>
    <w:p w:rsidR="00B30ABC" w:rsidRDefault="00B30ABC" w:rsidP="00B30ABC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Belize is exporting 25 pineapples. This means that the quantity supplied must be the quantity demanded domestically at the world price + 25.</w:t>
      </w:r>
    </w:p>
    <w:p w:rsidR="00B30ABC" w:rsidRPr="00B30ABC" w:rsidRDefault="00B30ABC" w:rsidP="00B30ABC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W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W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+25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W</m:t>
              </m:r>
            </m:sup>
          </m:sSup>
          <m:r>
            <w:rPr>
              <w:rFonts w:ascii="Cambria Math" w:eastAsiaTheme="minorEastAsia" w:hAnsi="Cambria Math"/>
            </w:rPr>
            <m:t>-5=20-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W</m:t>
              </m:r>
            </m:sup>
          </m:sSup>
          <m:r>
            <w:rPr>
              <w:rFonts w:ascii="Cambria Math" w:eastAsiaTheme="minorEastAsia" w:hAnsi="Cambria Math"/>
            </w:rPr>
            <m:t>+25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W</m:t>
              </m:r>
            </m:sup>
          </m:sSup>
          <m:r>
            <w:rPr>
              <w:rFonts w:ascii="Cambria Math" w:eastAsiaTheme="minorEastAsia" w:hAnsi="Cambria Math"/>
            </w:rPr>
            <m:t>=50</m:t>
          </m:r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W</m:t>
              </m:r>
            </m:sup>
          </m:sSup>
          <m:r>
            <w:rPr>
              <w:rFonts w:ascii="Cambria Math" w:eastAsiaTheme="minorEastAsia" w:hAnsi="Cambria Math"/>
            </w:rPr>
            <m:t>=$10</m:t>
          </m:r>
        </m:oMath>
      </m:oMathPara>
    </w:p>
    <w:p w:rsidR="00B30ABC" w:rsidRDefault="00B30ABC" w:rsidP="00B30AB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So the world price is $10. It is easy to now check </w:t>
      </w:r>
      <w:proofErr w:type="gramStart"/>
      <w:r>
        <w:rPr>
          <w:rFonts w:eastAsiaTheme="minorEastAsia"/>
        </w:rPr>
        <w:t xml:space="preserve">that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</m:t>
            </m:r>
          </m:e>
        </m:d>
        <m:r>
          <w:rPr>
            <w:rFonts w:ascii="Cambria Math" w:eastAsiaTheme="minorEastAsia" w:hAnsi="Cambria Math"/>
          </w:rPr>
          <m:t xml:space="preserve">=10,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</m:t>
            </m:r>
          </m:e>
        </m:d>
        <m:r>
          <w:rPr>
            <w:rFonts w:ascii="Cambria Math" w:eastAsiaTheme="minorEastAsia" w:hAnsi="Cambria Math"/>
          </w:rPr>
          <m:t>=35</m:t>
        </m:r>
      </m:oMath>
      <w:r>
        <w:rPr>
          <w:rFonts w:eastAsiaTheme="minorEastAsia"/>
        </w:rPr>
        <w:t>, and so the country must be exporting 25 pineapples.</w:t>
      </w:r>
    </w:p>
    <w:p w:rsidR="00E77F24" w:rsidRDefault="00E77F24" w:rsidP="00B30ABC">
      <w:pPr>
        <w:pStyle w:val="ListParagraph"/>
        <w:rPr>
          <w:rFonts w:eastAsiaTheme="minorEastAsia"/>
        </w:rPr>
      </w:pPr>
    </w:p>
    <w:p w:rsidR="00B30ABC" w:rsidRDefault="00B30ABC" w:rsidP="00B30ABC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This export subsidy has the effect of increasing the world price to $15. At that price, we have</w:t>
      </w:r>
    </w:p>
    <w:p w:rsidR="00B30ABC" w:rsidRPr="00B30ABC" w:rsidRDefault="00B30ABC" w:rsidP="00B30ABC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</m:t>
              </m:r>
            </m:e>
          </m:d>
          <m:r>
            <w:rPr>
              <w:rFonts w:ascii="Cambria Math" w:eastAsiaTheme="minorEastAsia" w:hAnsi="Cambria Math"/>
            </w:rPr>
            <m:t>=55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</m:t>
              </m:r>
            </m:e>
          </m:d>
          <m:r>
            <w:rPr>
              <w:rFonts w:ascii="Cambria Math" w:eastAsiaTheme="minorEastAsia" w:hAnsi="Cambria Math"/>
            </w:rPr>
            <m:t>=5</m:t>
          </m:r>
        </m:oMath>
      </m:oMathPara>
    </w:p>
    <w:p w:rsidR="00B30ABC" w:rsidRDefault="00FF4323" w:rsidP="00B30AB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Producers would like to supply 55 units at a world price of $10 + an export subsidy of $5. Since they only get the export subsidy if they export, any domestic buyers would have to agree to pay $15 as well (otherwise the producer would export at the world price of $10 and receive the $5 export subsidy). </w:t>
      </w:r>
    </w:p>
    <w:p w:rsidR="00FF4323" w:rsidRDefault="00FF4323" w:rsidP="00B30AB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As a result, only 5 units are demanded domestically, and so 50 units are exported. </w:t>
      </w:r>
    </w:p>
    <w:p w:rsidR="00E77F24" w:rsidRDefault="00E77F24" w:rsidP="00B30ABC">
      <w:pPr>
        <w:pStyle w:val="ListParagraph"/>
        <w:rPr>
          <w:rFonts w:eastAsiaTheme="minorEastAsia"/>
        </w:rPr>
      </w:pPr>
    </w:p>
    <w:p w:rsidR="00FF4323" w:rsidRDefault="00FF4323" w:rsidP="00FF4323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There are two deadweight loss regions created by this subsidy (see diagram</w:t>
      </w:r>
      <w:r w:rsidR="00A44027">
        <w:rPr>
          <w:rFonts w:eastAsiaTheme="minorEastAsia"/>
        </w:rPr>
        <w:t xml:space="preserve"> on following page</w:t>
      </w:r>
      <w:r>
        <w:rPr>
          <w:rFonts w:eastAsiaTheme="minorEastAsia"/>
        </w:rPr>
        <w:t>). The triangles have a combined area of 62.5, so the welfare loss i</w:t>
      </w:r>
      <w:r w:rsidR="008B4FC7">
        <w:rPr>
          <w:rFonts w:eastAsiaTheme="minorEastAsia"/>
        </w:rPr>
        <w:t xml:space="preserve">s </w:t>
      </w:r>
      <w:r w:rsidR="00EE0C70">
        <w:rPr>
          <w:rFonts w:eastAsiaTheme="minorEastAsia"/>
        </w:rPr>
        <w:t>62.5.</w:t>
      </w:r>
    </w:p>
    <w:p w:rsidR="008A5ABD" w:rsidRPr="008A5ABD" w:rsidRDefault="00FF4323" w:rsidP="008A5ABD">
      <w:pPr>
        <w:pStyle w:val="ListParagraph"/>
        <w:ind w:left="14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</m:t>
              </m:r>
            </m:e>
          </m:d>
          <m:r>
            <w:rPr>
              <w:rFonts w:ascii="Cambria Math" w:eastAsiaTheme="minorEastAsia" w:hAnsi="Cambria Math"/>
            </w:rPr>
            <m:t>=62.5</m:t>
          </m:r>
        </m:oMath>
      </m:oMathPara>
    </w:p>
    <w:p w:rsidR="008A5ABD" w:rsidRDefault="008A5ABD" w:rsidP="008A5ABD">
      <w:pPr>
        <w:pStyle w:val="ListParagraph"/>
        <w:rPr>
          <w:rFonts w:eastAsiaTheme="minorEastAsia"/>
        </w:rPr>
      </w:pPr>
      <w:r w:rsidRPr="008A5ABD">
        <w:rPr>
          <w:rFonts w:eastAsiaTheme="minorEastAsia"/>
        </w:rPr>
        <w:t>Area A: Before subsidy</w:t>
      </w:r>
      <w:r>
        <w:rPr>
          <w:rFonts w:eastAsiaTheme="minorEastAsia"/>
        </w:rPr>
        <w:t>:</w:t>
      </w:r>
      <w:r w:rsidRPr="008A5ABD">
        <w:rPr>
          <w:rFonts w:eastAsiaTheme="minorEastAsia"/>
        </w:rPr>
        <w:t xml:space="preserve"> consumer surplus. After subsidy</w:t>
      </w:r>
      <w:r>
        <w:rPr>
          <w:rFonts w:eastAsiaTheme="minorEastAsia"/>
        </w:rPr>
        <w:t>:</w:t>
      </w:r>
      <w:r w:rsidRPr="008A5ABD">
        <w:rPr>
          <w:rFonts w:eastAsiaTheme="minorEastAsia"/>
        </w:rPr>
        <w:t xml:space="preserve"> producer surplus instead of consumer surplus, but also government expenditure</w:t>
      </w:r>
    </w:p>
    <w:p w:rsidR="008A5ABD" w:rsidRPr="008A5ABD" w:rsidRDefault="008A5ABD" w:rsidP="008A5AB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Area B: Before subsidy: nothing. After subsidy: </w:t>
      </w:r>
      <w:r w:rsidR="00E77F24">
        <w:rPr>
          <w:rFonts w:eastAsiaTheme="minorEastAsia"/>
        </w:rPr>
        <w:t xml:space="preserve">government expenditure (note that suppliers are not capturing it as producer surplus). </w:t>
      </w:r>
    </w:p>
    <w:p w:rsidR="00B30ABC" w:rsidRPr="00B30ABC" w:rsidRDefault="008A5ABD" w:rsidP="00B30ABC">
      <w:pPr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7A3D7" wp14:editId="75436E82">
                <wp:simplePos x="0" y="0"/>
                <wp:positionH relativeFrom="column">
                  <wp:posOffset>3816350</wp:posOffset>
                </wp:positionH>
                <wp:positionV relativeFrom="paragraph">
                  <wp:posOffset>1168400</wp:posOffset>
                </wp:positionV>
                <wp:extent cx="1701800" cy="628650"/>
                <wp:effectExtent l="38100" t="19050" r="12700" b="19050"/>
                <wp:wrapNone/>
                <wp:docPr id="2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01800" cy="628650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5ABD" w:rsidRPr="008A5ABD" w:rsidRDefault="008A5ABD" w:rsidP="008A5AB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A5ABD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vert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7A3D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300.5pt;margin-top:92pt;width:134pt;height:49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" fillcolor="#f4b083 [1941]" strokecolor="#ed7d31 [3205]" strokeweight="1pt">
                <v:textbox>
                  <w:txbxContent>
                    <w:p w:rsidR="008A5ABD" w:rsidRPr="008A5ABD" w:rsidRDefault="008A5ABD" w:rsidP="008A5ABD">
                      <w:pPr>
                        <w:jc w:val="center"/>
                        <w:rPr>
                          <w:b/>
                        </w:rPr>
                      </w:pPr>
                      <w:r w:rsidRPr="008A5ABD">
                        <w:rPr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4A65156" wp14:editId="511A247F">
            <wp:extent cx="6191250" cy="4013200"/>
            <wp:effectExtent l="0" t="0" r="0" b="63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B30ABC" w:rsidRPr="00B30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E7353"/>
    <w:multiLevelType w:val="hybridMultilevel"/>
    <w:tmpl w:val="2C542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A29FB"/>
    <w:multiLevelType w:val="hybridMultilevel"/>
    <w:tmpl w:val="5AF85A1A"/>
    <w:lvl w:ilvl="0" w:tplc="2280C97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E82783"/>
    <w:multiLevelType w:val="hybridMultilevel"/>
    <w:tmpl w:val="92CAC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12796"/>
    <w:multiLevelType w:val="hybridMultilevel"/>
    <w:tmpl w:val="45CE4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F2E46"/>
    <w:multiLevelType w:val="hybridMultilevel"/>
    <w:tmpl w:val="1D2EE48C"/>
    <w:lvl w:ilvl="0" w:tplc="0EA2A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EB192F"/>
    <w:multiLevelType w:val="hybridMultilevel"/>
    <w:tmpl w:val="31FA9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ABC"/>
    <w:rsid w:val="001F095A"/>
    <w:rsid w:val="007A4BD1"/>
    <w:rsid w:val="007E4768"/>
    <w:rsid w:val="008A5ABD"/>
    <w:rsid w:val="008B4FC7"/>
    <w:rsid w:val="00A44027"/>
    <w:rsid w:val="00B25833"/>
    <w:rsid w:val="00B30ABC"/>
    <w:rsid w:val="00BB5E7F"/>
    <w:rsid w:val="00E77F24"/>
    <w:rsid w:val="00EE0C70"/>
    <w:rsid w:val="00FF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654A"/>
  <w15:chartTrackingRefBased/>
  <w15:docId w15:val="{5E398D48-FE89-4E4A-A2BE-A1254666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A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0A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7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7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Belize - Free Trade + Export Subsidy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Demand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Sheet1!$D$5:$D$6</c:f>
              <c:numCache>
                <c:formatCode>General</c:formatCode>
                <c:ptCount val="2"/>
                <c:pt idx="0">
                  <c:v>0</c:v>
                </c:pt>
                <c:pt idx="1">
                  <c:v>20</c:v>
                </c:pt>
              </c:numCache>
            </c:numRef>
          </c:xVal>
          <c:yVal>
            <c:numRef>
              <c:f>Sheet1!$E$5:$E$6</c:f>
              <c:numCache>
                <c:formatCode>General</c:formatCode>
                <c:ptCount val="2"/>
                <c:pt idx="0">
                  <c:v>20</c:v>
                </c:pt>
                <c:pt idx="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33F-4FCB-8E95-A5E107F2798C}"/>
            </c:ext>
          </c:extLst>
        </c:ser>
        <c:ser>
          <c:idx val="1"/>
          <c:order val="1"/>
          <c:tx>
            <c:strRef>
              <c:f>Sheet1!$B$8</c:f>
              <c:strCache>
                <c:ptCount val="1"/>
                <c:pt idx="0">
                  <c:v>Supply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Sheet1!$D$8:$D$9</c:f>
              <c:numCache>
                <c:formatCode>General</c:formatCode>
                <c:ptCount val="2"/>
                <c:pt idx="0">
                  <c:v>0</c:v>
                </c:pt>
                <c:pt idx="1">
                  <c:v>60</c:v>
                </c:pt>
              </c:numCache>
            </c:numRef>
          </c:xVal>
          <c:yVal>
            <c:numRef>
              <c:f>Sheet1!$E$8:$E$9</c:f>
              <c:numCache>
                <c:formatCode>General</c:formatCode>
                <c:ptCount val="2"/>
                <c:pt idx="0">
                  <c:v>1.25</c:v>
                </c:pt>
                <c:pt idx="1">
                  <c:v>16.25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33F-4FCB-8E95-A5E107F2798C}"/>
            </c:ext>
          </c:extLst>
        </c:ser>
        <c:ser>
          <c:idx val="2"/>
          <c:order val="2"/>
          <c:tx>
            <c:strRef>
              <c:f>Sheet1!$B$11</c:f>
              <c:strCache>
                <c:ptCount val="1"/>
                <c:pt idx="0">
                  <c:v>q=5</c:v>
                </c:pt>
              </c:strCache>
            </c:strRef>
          </c:tx>
          <c:spPr>
            <a:ln w="19050" cap="rnd">
              <a:solidFill>
                <a:schemeClr val="accent3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Sheet1!$D$11:$D$12</c:f>
              <c:numCache>
                <c:formatCode>General</c:formatCode>
                <c:ptCount val="2"/>
                <c:pt idx="0">
                  <c:v>5</c:v>
                </c:pt>
                <c:pt idx="1">
                  <c:v>5</c:v>
                </c:pt>
              </c:numCache>
            </c:numRef>
          </c:xVal>
          <c:yVal>
            <c:numRef>
              <c:f>Sheet1!$E$11:$E$12</c:f>
              <c:numCache>
                <c:formatCode>General</c:formatCode>
                <c:ptCount val="2"/>
                <c:pt idx="0">
                  <c:v>0</c:v>
                </c:pt>
                <c:pt idx="1">
                  <c:v>20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33F-4FCB-8E95-A5E107F2798C}"/>
            </c:ext>
          </c:extLst>
        </c:ser>
        <c:ser>
          <c:idx val="3"/>
          <c:order val="3"/>
          <c:tx>
            <c:strRef>
              <c:f>Sheet1!$B$14</c:f>
              <c:strCache>
                <c:ptCount val="1"/>
                <c:pt idx="0">
                  <c:v>q=10</c:v>
                </c:pt>
              </c:strCache>
            </c:strRef>
          </c:tx>
          <c:spPr>
            <a:ln w="19050" cap="rnd">
              <a:solidFill>
                <a:schemeClr val="accent4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Sheet1!$D$14:$D$15</c:f>
              <c:numCache>
                <c:formatCode>General</c:formatCode>
                <c:ptCount val="2"/>
                <c:pt idx="0">
                  <c:v>10</c:v>
                </c:pt>
                <c:pt idx="1">
                  <c:v>10</c:v>
                </c:pt>
              </c:numCache>
            </c:numRef>
          </c:xVal>
          <c:yVal>
            <c:numRef>
              <c:f>Sheet1!$E$14:$E$15</c:f>
              <c:numCache>
                <c:formatCode>General</c:formatCode>
                <c:ptCount val="2"/>
                <c:pt idx="0">
                  <c:v>0</c:v>
                </c:pt>
                <c:pt idx="1">
                  <c:v>20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33F-4FCB-8E95-A5E107F2798C}"/>
            </c:ext>
          </c:extLst>
        </c:ser>
        <c:ser>
          <c:idx val="4"/>
          <c:order val="4"/>
          <c:tx>
            <c:strRef>
              <c:f>Sheet1!$B$17</c:f>
              <c:strCache>
                <c:ptCount val="1"/>
                <c:pt idx="0">
                  <c:v>q=35</c:v>
                </c:pt>
              </c:strCache>
            </c:strRef>
          </c:tx>
          <c:spPr>
            <a:ln w="19050" cap="rnd">
              <a:solidFill>
                <a:schemeClr val="accent5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Sheet1!$D$17:$D$18</c:f>
              <c:numCache>
                <c:formatCode>General</c:formatCode>
                <c:ptCount val="2"/>
                <c:pt idx="0">
                  <c:v>35</c:v>
                </c:pt>
                <c:pt idx="1">
                  <c:v>35</c:v>
                </c:pt>
              </c:numCache>
            </c:numRef>
          </c:xVal>
          <c:yVal>
            <c:numRef>
              <c:f>Sheet1!$E$17:$E$18</c:f>
              <c:numCache>
                <c:formatCode>General</c:formatCode>
                <c:ptCount val="2"/>
                <c:pt idx="0">
                  <c:v>0</c:v>
                </c:pt>
                <c:pt idx="1">
                  <c:v>20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C33F-4FCB-8E95-A5E107F2798C}"/>
            </c:ext>
          </c:extLst>
        </c:ser>
        <c:ser>
          <c:idx val="5"/>
          <c:order val="5"/>
          <c:tx>
            <c:strRef>
              <c:f>Sheet1!$B$20</c:f>
              <c:strCache>
                <c:ptCount val="1"/>
                <c:pt idx="0">
                  <c:v>q=55</c:v>
                </c:pt>
              </c:strCache>
            </c:strRef>
          </c:tx>
          <c:spPr>
            <a:ln w="19050" cap="rnd">
              <a:solidFill>
                <a:schemeClr val="accent6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Sheet1!$D$20:$D$21</c:f>
              <c:numCache>
                <c:formatCode>General</c:formatCode>
                <c:ptCount val="2"/>
                <c:pt idx="0">
                  <c:v>55</c:v>
                </c:pt>
                <c:pt idx="1">
                  <c:v>55</c:v>
                </c:pt>
              </c:numCache>
            </c:numRef>
          </c:xVal>
          <c:yVal>
            <c:numRef>
              <c:f>Sheet1!$E$20:$E$21</c:f>
              <c:numCache>
                <c:formatCode>General</c:formatCode>
                <c:ptCount val="2"/>
                <c:pt idx="0">
                  <c:v>0</c:v>
                </c:pt>
                <c:pt idx="1">
                  <c:v>20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C33F-4FCB-8E95-A5E107F2798C}"/>
            </c:ext>
          </c:extLst>
        </c:ser>
        <c:ser>
          <c:idx val="6"/>
          <c:order val="6"/>
          <c:tx>
            <c:strRef>
              <c:f>Sheet1!$B$23</c:f>
              <c:strCache>
                <c:ptCount val="1"/>
                <c:pt idx="0">
                  <c:v>p=10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Sheet1!$D$23:$D$24</c:f>
              <c:numCache>
                <c:formatCode>General</c:formatCode>
                <c:ptCount val="2"/>
                <c:pt idx="0">
                  <c:v>0</c:v>
                </c:pt>
                <c:pt idx="1">
                  <c:v>60</c:v>
                </c:pt>
              </c:numCache>
            </c:numRef>
          </c:xVal>
          <c:yVal>
            <c:numRef>
              <c:f>Sheet1!$E$23:$E$24</c:f>
              <c:numCache>
                <c:formatCode>General</c:formatCode>
                <c:ptCount val="2"/>
                <c:pt idx="0">
                  <c:v>10</c:v>
                </c:pt>
                <c:pt idx="1">
                  <c:v>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C33F-4FCB-8E95-A5E107F2798C}"/>
            </c:ext>
          </c:extLst>
        </c:ser>
        <c:ser>
          <c:idx val="7"/>
          <c:order val="7"/>
          <c:tx>
            <c:strRef>
              <c:f>Sheet1!$B$26</c:f>
              <c:strCache>
                <c:ptCount val="1"/>
                <c:pt idx="0">
                  <c:v>p=15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Sheet1!$D$26:$D$27</c:f>
              <c:numCache>
                <c:formatCode>General</c:formatCode>
                <c:ptCount val="2"/>
                <c:pt idx="0">
                  <c:v>0</c:v>
                </c:pt>
                <c:pt idx="1">
                  <c:v>60</c:v>
                </c:pt>
              </c:numCache>
            </c:numRef>
          </c:xVal>
          <c:yVal>
            <c:numRef>
              <c:f>Sheet1!$E$26:$E$27</c:f>
              <c:numCache>
                <c:formatCode>General</c:formatCode>
                <c:ptCount val="2"/>
                <c:pt idx="0">
                  <c:v>15</c:v>
                </c:pt>
                <c:pt idx="1">
                  <c:v>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C33F-4FCB-8E95-A5E107F279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637032"/>
        <c:axId val="47637360"/>
      </c:scatterChart>
      <c:valAx>
        <c:axId val="47637032"/>
        <c:scaling>
          <c:orientation val="minMax"/>
          <c:max val="6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Quantity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637360"/>
        <c:crosses val="autoZero"/>
        <c:crossBetween val="midCat"/>
      </c:valAx>
      <c:valAx>
        <c:axId val="47637360"/>
        <c:scaling>
          <c:orientation val="minMax"/>
          <c:max val="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Price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6370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0.16718</cdr:x>
      <cdr:y>0.28801</cdr:y>
    </cdr:from>
    <cdr:to>
      <cdr:x>0.23385</cdr:x>
      <cdr:y>0.45212</cdr:y>
    </cdr:to>
    <cdr:sp macro="" textlink="">
      <cdr:nvSpPr>
        <cdr:cNvPr id="2" name="Right Triangle 1"/>
        <cdr:cNvSpPr/>
      </cdr:nvSpPr>
      <cdr:spPr>
        <a:xfrm xmlns:a="http://schemas.openxmlformats.org/drawingml/2006/main">
          <a:off x="1035050" y="1155852"/>
          <a:ext cx="412750" cy="658576"/>
        </a:xfrm>
        <a:prstGeom xmlns:a="http://schemas.openxmlformats.org/drawingml/2006/main" prst="rtTriangle">
          <a:avLst/>
        </a:prstGeom>
        <a:solidFill xmlns:a="http://schemas.openxmlformats.org/drawingml/2006/main">
          <a:schemeClr val="accent2">
            <a:lumMod val="60000"/>
            <a:lumOff val="40000"/>
          </a:schemeClr>
        </a:solidFill>
        <a:ln xmlns:a="http://schemas.openxmlformats.org/drawingml/2006/main">
          <a:solidFill>
            <a:schemeClr val="accent2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b="1"/>
            <a:t>A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SOM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Sinkinson, Michael</dc:creator>
  <cp:keywords/>
  <dc:description/>
  <cp:lastModifiedBy>Sinkinson, Michael</cp:lastModifiedBy>
  <cp:revision>7</cp:revision>
  <cp:lastPrinted>2018-07-20T23:12:00Z</cp:lastPrinted>
  <dcterms:created xsi:type="dcterms:W3CDTF">2018-07-20T22:26:00Z</dcterms:created>
  <dcterms:modified xsi:type="dcterms:W3CDTF">2018-07-20T23:30:00Z</dcterms:modified>
</cp:coreProperties>
</file>