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Arial" w:cs="Arial" w:eastAsia="Arial" w:hAnsi="Arial"/>
          <w:sz w:val="30"/>
          <w:szCs w:val="30"/>
        </w:rPr>
        <w:t xml:space="preserve">Relatório Parcial de Iniciação Científica (IC)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Atualização de Cronograma e Mapeamento Técnico de Lacunas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Projeto: </w:t>
      </w:r>
      <w:r>
        <w:rPr>
          <w:rFonts w:ascii="Arial" w:cs="Arial" w:eastAsia="Arial" w:hAnsi="Arial"/>
          <w:sz w:val="22"/>
          <w:szCs w:val="22"/>
        </w:rPr>
        <w:t xml:space="preserve">Aplicação de Algoritmos de Inteligência Artificial para Resolução de Problemas Climáticos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Professor Orientador: </w:t>
      </w:r>
      <w:r>
        <w:rPr>
          <w:rFonts w:ascii="Arial" w:cs="Arial" w:eastAsia="Arial" w:hAnsi="Arial"/>
          <w:sz w:val="22"/>
          <w:szCs w:val="22"/>
        </w:rPr>
        <w:t xml:space="preserve">Prof. Gustavo Siqueira Vinhal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Aluna: </w:t>
      </w:r>
      <w:r>
        <w:rPr>
          <w:rFonts w:ascii="Arial" w:cs="Arial" w:eastAsia="Arial" w:hAnsi="Arial"/>
          <w:sz w:val="22"/>
          <w:szCs w:val="22"/>
        </w:rPr>
        <w:t xml:space="preserve">Bárbara Letícia Mota Godoy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Repositório do projeto: </w:t>
      </w:r>
      <w:r>
        <w:rPr>
          <w:rFonts w:ascii="Arial" w:cs="Arial" w:eastAsia="Arial" w:hAnsi="Arial"/>
          <w:sz w:val="22"/>
          <w:szCs w:val="22"/>
        </w:rPr>
        <w:t xml:space="preserve">https://github.com/barbaragodoy/climate-ai-solver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Data deste relatório: </w:t>
      </w:r>
      <w:r>
        <w:rPr>
          <w:rFonts w:ascii="Arial" w:cs="Arial" w:eastAsia="Arial" w:hAnsi="Arial"/>
          <w:sz w:val="22"/>
          <w:szCs w:val="22"/>
        </w:rPr>
        <w:t xml:space="preserve">25 de junho de 2026</w:t>
      </w:r>
    </w:p>
    <w:p>
      <w:pPr>
        <w:spacing w:after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Relatório de referência: </w:t>
      </w:r>
      <w:r>
        <w:rPr>
          <w:rFonts w:ascii="Arial" w:cs="Arial" w:eastAsia="Arial" w:hAnsi="Arial"/>
          <w:sz w:val="22"/>
          <w:szCs w:val="22"/>
        </w:rPr>
        <w:t xml:space="preserve">Relatório Parcial de Iniciação Científica, emitido em 12/12/2025 (SENAI/FIEG).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</w:rPr>
        <w:t xml:space="preserve">1. Contextualização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Este documento atualiza o Relatório Parcial de Iniciação Científica de 12/12/2025, referente ao projeto “Aplicação de Algoritmos de Inteligência Artificial para Resolução de Problemas Climáticos”. O relatório anterior estabeleceu o cronograma original para o primeiro semestre de 2026 (janeiro a maio), com a fase de Confecção de Artigos prevista para fevereiro, março e abril de 2026.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Atualmente (junho de 2026), a pesquisa encontra-se na fase de Confecção de Artigos, com atraso em relação ao planejamento original. Este relatório tem três objetivos: (i) descrever o que foi construído e testado ao longo do semestre; (ii) mapear, com base no código-fonte e nos notebooks existentes, o que ainda precisa ser evoluído para atender ao escopo do projeto e validar cientificamente a pesquisa; e (iii) apresentar um cronograma atualizado, estendido ao segundo semestre de 2026, incorporando uma fase de mapeamento e uma fase pós-mapeamento dedicada ao fechamento dessas lacunas.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</w:rPr>
        <w:t xml:space="preserve">2. Atividades Desenvolvidas no Semestre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O semestre foi dedicado à construção da base técnica do projeto: estruturação do repositório de código, implementação dos módulos de cada algoritmo previsto na metodologia original, criação dos notebooks de análise e desenvolvimento de um dashboard interativo. A avaliação a seguir foi feita a partir da leitura direta do código-fonte e do estado de execução dos notebooks na pasta do projeto.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</w:rPr>
        <w:t xml:space="preserve">2.1 Estrutura de Código e Módulos Implementados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Foram implementados módulos Python para todas as cinco categorias de algoritmos previstas no projeto original (Regressão Linear, Classificação k-NN, Classificação por Árvore de Decisão, Agrupamento K-Means e Redes Neurais LSTM), além dos módulos de geração/pré-processamento de dados, visualização e um dashboard interativo. O quadro abaixo resume cada módulo: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1700"/>
        <w:gridCol w:w="4338"/>
        <w:gridCol w:w="1900"/>
      </w:tblGrid>
      <w:tr>
        <w:trPr>
          <w:tblHeader/>
        </w:trPr>
        <w:tc>
          <w:tcPr>
            <w:tcW w:type="dxa" w:w="17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shd w:fill="1F4E5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17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shd w:fill="1F4E5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4338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shd w:fill="1F4E5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Descrição técnica</w:t>
            </w:r>
          </w:p>
        </w:tc>
        <w:tc>
          <w:tcPr>
            <w:tcW w:type="dxa" w:w="19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shd w:fill="1F4E5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17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Geração de Dados Climáticos</w:t>
            </w:r>
          </w:p>
        </w:tc>
        <w:tc>
          <w:tcPr>
            <w:tcW w:type="dxa" w:w="17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src/data/generate_data.py</w:t>
            </w:r>
          </w:p>
        </w:tc>
        <w:tc>
          <w:tcPr>
            <w:tcW w:type="dxa" w:w="4338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Gerador de série sintética diária (1974–2024) calibrada com parâmetros mensais históricos do Cerrado Goiano (referência INMET, estação A002 – Goiânia); inclui tendência de aquecimento (+0,025°C/ano) e injeção controlada de 2% de valores faltantes.</w:t>
            </w:r>
          </w:p>
        </w:tc>
        <w:tc>
          <w:tcPr>
            <w:tcW w:type="dxa" w:w="19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Implementado</w:t>
            </w:r>
          </w:p>
        </w:tc>
      </w:tr>
      <w:tr>
        <w:tc>
          <w:tcPr>
            <w:tcW w:type="dxa" w:w="17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Pré-processamento</w:t>
            </w:r>
          </w:p>
        </w:tc>
        <w:tc>
          <w:tcPr>
            <w:tcW w:type="dxa" w:w="17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src/data/preprocessor.py</w:t>
            </w:r>
          </w:p>
        </w:tc>
        <w:tc>
          <w:tcPr>
            <w:tcW w:type="dxa" w:w="4338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Interpolação temporal de lacunas; engenharia de atributos (componentes sazonais seno/cosseno, amplitude térmica, chuva acumulada em 7 dias, média móvel de 30 dias, indicador de estação seca); normalização (MinMax/StandardScaler); construção de sequências para a LSTM.</w:t>
            </w:r>
          </w:p>
        </w:tc>
        <w:tc>
          <w:tcPr>
            <w:tcW w:type="dxa" w:w="19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Implementado</w:t>
            </w:r>
          </w:p>
        </w:tc>
      </w:tr>
      <w:tr>
        <w:tc>
          <w:tcPr>
            <w:tcW w:type="dxa" w:w="17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Regressão Linear</w:t>
            </w:r>
          </w:p>
        </w:tc>
        <w:tc>
          <w:tcPr>
            <w:tcW w:type="dxa" w:w="17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src/models/regression.py</w:t>
            </w:r>
          </w:p>
        </w:tc>
        <w:tc>
          <w:tcPr>
            <w:tcW w:type="dxa" w:w="4338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LinearRegression/Ridge para prever temp_max; divisão treino/teste 80/20 sem embaralhamento (preserva ordem temporal); métricas MAE, MSE, RMSE e R².</w:t>
            </w:r>
          </w:p>
        </w:tc>
        <w:tc>
          <w:tcPr>
            <w:tcW w:type="dxa" w:w="19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Implementado</w:t>
            </w:r>
          </w:p>
        </w:tc>
      </w:tr>
      <w:tr>
        <w:tc>
          <w:tcPr>
            <w:tcW w:type="dxa" w:w="17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Classificação – k-NN</w:t>
            </w:r>
          </w:p>
        </w:tc>
        <w:tc>
          <w:tcPr>
            <w:tcW w:type="dxa" w:w="17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src/models/classification.py</w:t>
            </w:r>
          </w:p>
        </w:tc>
        <w:tc>
          <w:tcPr>
            <w:tcW w:type="dxa" w:w="4338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K-Nearest Neighbors (distância euclidiana, pesos por distância) para identificar risco de onda de calor (temp_max ≥ 35°C e umidade &lt; 40%); avaliação por classification report, matriz de confusão e AUC-ROC.</w:t>
            </w:r>
          </w:p>
        </w:tc>
        <w:tc>
          <w:tcPr>
            <w:tcW w:type="dxa" w:w="19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Implementado</w:t>
            </w:r>
          </w:p>
        </w:tc>
      </w:tr>
      <w:tr>
        <w:tc>
          <w:tcPr>
            <w:tcW w:type="dxa" w:w="17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Classificação – Árvore de Decisão</w:t>
            </w:r>
          </w:p>
        </w:tc>
        <w:tc>
          <w:tcPr>
            <w:tcW w:type="dxa" w:w="17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src/models/classification.py</w:t>
            </w:r>
          </w:p>
        </w:tc>
        <w:tc>
          <w:tcPr>
            <w:tcW w:type="dxa" w:w="4338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DecisionTreeClassifier para risco de incêndio, com regras de decisão interpretáveis (export_text) e importância de atributos (Gini).</w:t>
            </w:r>
          </w:p>
        </w:tc>
        <w:tc>
          <w:tcPr>
            <w:tcW w:type="dxa" w:w="19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Implementado</w:t>
            </w:r>
          </w:p>
        </w:tc>
      </w:tr>
      <w:tr>
        <w:tc>
          <w:tcPr>
            <w:tcW w:type="dxa" w:w="17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Agrupamento – K-Means</w:t>
            </w:r>
          </w:p>
        </w:tc>
        <w:tc>
          <w:tcPr>
            <w:tcW w:type="dxa" w:w="17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src/models/clustering.py</w:t>
            </w:r>
          </w:p>
        </w:tc>
        <w:tc>
          <w:tcPr>
            <w:tcW w:type="dxa" w:w="4338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Busca do k ótimo (inércia + silhueta); treinamento final com 4 clusters nomeados (Chuvoso-Quente, Seco-Crítico, Seco-Ameno, Transição); métricas Silhouette e Davies-Bouldin; centróides analisados via PCA.</w:t>
            </w:r>
          </w:p>
        </w:tc>
        <w:tc>
          <w:tcPr>
            <w:tcW w:type="dxa" w:w="19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Implementado</w:t>
            </w:r>
          </w:p>
        </w:tc>
      </w:tr>
      <w:tr>
        <w:tc>
          <w:tcPr>
            <w:tcW w:type="dxa" w:w="17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Redes Neurais – LSTM</w:t>
            </w:r>
          </w:p>
        </w:tc>
        <w:tc>
          <w:tcPr>
            <w:tcW w:type="dxa" w:w="17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src/models/lstm_model.py</w:t>
            </w:r>
          </w:p>
        </w:tc>
        <w:tc>
          <w:tcPr>
            <w:tcW w:type="dxa" w:w="4338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Arquitetura com 2 camadas LSTM (64/32 unidades) + BatchNormalization + Dropout + Dense; callbacks de EarlyStopping, ReduceLROnPlateau e ModelCheckpoint; avaliação por MAE, RMSE e R².</w:t>
            </w:r>
          </w:p>
        </w:tc>
        <w:tc>
          <w:tcPr>
            <w:tcW w:type="dxa" w:w="19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Implementado</w:t>
            </w:r>
          </w:p>
        </w:tc>
      </w:tr>
      <w:tr>
        <w:tc>
          <w:tcPr>
            <w:tcW w:type="dxa" w:w="17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Visualizações</w:t>
            </w:r>
          </w:p>
        </w:tc>
        <w:tc>
          <w:tcPr>
            <w:tcW w:type="dxa" w:w="17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src/visualization/plots.py</w:t>
            </w:r>
          </w:p>
        </w:tc>
        <w:tc>
          <w:tcPr>
            <w:tcW w:type="dxa" w:w="4338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Funções reutilizáveis em Matplotlib/Seaborn (tendência, matriz de confusão) e Plotly (série temporal, climatologia mensal, real vs. predito).</w:t>
            </w:r>
          </w:p>
        </w:tc>
        <w:tc>
          <w:tcPr>
            <w:tcW w:type="dxa" w:w="19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Implementado</w:t>
            </w:r>
          </w:p>
        </w:tc>
      </w:tr>
      <w:tr>
        <w:tc>
          <w:tcPr>
            <w:tcW w:type="dxa" w:w="17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Dashboard Interativo</w:t>
            </w:r>
          </w:p>
        </w:tc>
        <w:tc>
          <w:tcPr>
            <w:tcW w:type="dxa" w:w="17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dashboard/app.py</w:t>
            </w:r>
          </w:p>
        </w:tc>
        <w:tc>
          <w:tcPr>
            <w:tcW w:type="dxa" w:w="4338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Aplicação Streamlit com 5 páginas: Visão Geral, Tendências, Eventos Extremos, Modelos de IA e Perfis Sazonais; inclui simuladores manuais de risco de onda de calor e de incêndio.</w:t>
            </w:r>
          </w:p>
        </w:tc>
        <w:tc>
          <w:tcPr>
            <w:tcW w:type="dxa" w:w="19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Interface implementada; depende de modelos treinados e persistidos para a página “Modelos de IA”</w:t>
            </w:r>
          </w:p>
        </w:tc>
      </w:tr>
    </w:tbl>
    <w:p>
      <w:pPr>
        <w:pStyle w:val="Heading2"/>
        <w:spacing w:after="120" w:before="220"/>
      </w:pPr>
      <w:r>
        <w:rPr>
          <w:rFonts w:ascii="Arial" w:cs="Arial" w:eastAsia="Arial" w:hAnsi="Arial"/>
        </w:rPr>
        <w:t xml:space="preserve">2.2 Status de Execução e Testes (Notebooks)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Os cinco notebooks previstos (um por etapa analítica) foram criados com a estrutura completa de seções, células e títulos descritivos. No entanto, a verificação do estado de execução de cada notebook mostra que a maior parte ainda não foi efetivamente rodada de ponta a ponta: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1300"/>
        <w:gridCol w:w="1300"/>
        <w:gridCol w:w="4638"/>
      </w:tblGrid>
      <w:tr>
        <w:trPr>
          <w:tblHeader/>
        </w:trPr>
        <w:tc>
          <w:tcPr>
            <w:tcW w:type="dxa" w:w="24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shd w:fill="1F4E5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Notebook</w:t>
            </w:r>
          </w:p>
        </w:tc>
        <w:tc>
          <w:tcPr>
            <w:tcW w:type="dxa" w:w="13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shd w:fill="1F4E5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Células de código</w:t>
            </w:r>
          </w:p>
        </w:tc>
        <w:tc>
          <w:tcPr>
            <w:tcW w:type="dxa" w:w="13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shd w:fill="1F4E5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Células executadas</w:t>
            </w:r>
          </w:p>
        </w:tc>
        <w:tc>
          <w:tcPr>
            <w:tcW w:type="dxa" w:w="4638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shd w:fill="1F4E5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24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01_EDA.ipynb</w:t>
            </w:r>
          </w:p>
        </w:tc>
        <w:tc>
          <w:tcPr>
            <w:tcW w:type="dxa" w:w="13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12</w:t>
            </w:r>
          </w:p>
        </w:tc>
        <w:tc>
          <w:tcPr>
            <w:tcW w:type="dxa" w:w="13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4638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Estrutura completa (8 seções: tendência, sazonalidade, correlação, eventos extremos, boxplots e conclusões), porém nenhuma célula foi executada – sem resultados gerados.</w:t>
            </w:r>
          </w:p>
        </w:tc>
      </w:tr>
      <w:tr>
        <w:tc>
          <w:tcPr>
            <w:tcW w:type="dxa" w:w="24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02_regressao_linear.ipynb</w:t>
            </w:r>
          </w:p>
        </w:tc>
        <w:tc>
          <w:tcPr>
            <w:tcW w:type="dxa" w:w="13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</w:t>
            </w:r>
          </w:p>
        </w:tc>
        <w:tc>
          <w:tcPr>
            <w:tcW w:type="dxa" w:w="13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4638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Execução iniciada (preparação dos dados e treinamento); visualização Real vs. Predito, importância de atributos e análise de resíduos ainda não executadas.</w:t>
            </w:r>
          </w:p>
        </w:tc>
      </w:tr>
      <w:tr>
        <w:tc>
          <w:tcPr>
            <w:tcW w:type="dxa" w:w="24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03_classificacao.ipynb</w:t>
            </w:r>
          </w:p>
        </w:tc>
        <w:tc>
          <w:tcPr>
            <w:tcW w:type="dxa" w:w="13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</w:t>
            </w:r>
          </w:p>
        </w:tc>
        <w:tc>
          <w:tcPr>
            <w:tcW w:type="dxa" w:w="13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4638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Execução iniciada; treinamento, validação e avaliação dos modelos k-NN e Árvore de Decisão ainda pendentes.</w:t>
            </w:r>
          </w:p>
        </w:tc>
      </w:tr>
      <w:tr>
        <w:tc>
          <w:tcPr>
            <w:tcW w:type="dxa" w:w="24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04_kmeans_clustering.ipynb</w:t>
            </w:r>
          </w:p>
        </w:tc>
        <w:tc>
          <w:tcPr>
            <w:tcW w:type="dxa" w:w="13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  <w:tc>
          <w:tcPr>
            <w:tcW w:type="dxa" w:w="13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4638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Estrutura completa (seleção de k, treinamento, PCA, interpretação dos perfis); nenhuma célula executada.</w:t>
            </w:r>
          </w:p>
        </w:tc>
      </w:tr>
      <w:tr>
        <w:tc>
          <w:tcPr>
            <w:tcW w:type="dxa" w:w="24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05_lstm_previsao.ipynb</w:t>
            </w:r>
          </w:p>
        </w:tc>
        <w:tc>
          <w:tcPr>
            <w:tcW w:type="dxa" w:w="13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  <w:tc>
          <w:tcPr>
            <w:tcW w:type="dxa" w:w="13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4638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Estrutura completa; nenhuma célula executada – etapa de maior custo computacional do projeto, ainda não iniciada.</w:t>
            </w:r>
          </w:p>
        </w:tc>
      </w:tr>
    </w:tbl>
    <w:p>
      <w:pPr>
        <w:spacing w:after="200" w:before="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Adicionalmente, observou-se que as pastas data/ e outputs/ do projeto estão vazias: nenhum dataset (bruto ou processado) e nenhum modelo treinado (.pkl ou .keras) foi persistido até o momento. Isso confirma que a fase de execução e validação efetiva dos modelos ainda não foi concluída, mesmo com os módulos de código já implementados.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</w:rPr>
        <w:t xml:space="preserve">2.3 Dashboard Interativo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Foi desenvolvida uma aplicação Streamlit (dashboard/app.py) com cinco páginas: Visão Geral (KPIs e séries temporais), Tendências (temperatura, precipitação e umidade ao longo de 50 anos), Eventos Extremos (ondas de calor e incêndio), Modelos de IA (descrição dos modelos e simuladores manuais de risco) e Perfis Sazonais (mapas de calor e boxplots). A interface está funcionalmente completa, mas a página “Modelos de IA” depende de modelos treinados e salvos em outputs/models/, pasta atualmente vazia – ou seja, o dashboard ainda não pode ser validado com resultados reais dos modelos preditivos.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</w:rPr>
        <w:t xml:space="preserve">3. Mapeamento de Lacunas para Atender o Escopo e Validar a Pesquisa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Com base no levantamento acima, a tabela a seguir mapeia, para cada frente do projeto, a situação atual e o que ainda precisa ser evoluído para que o escopo original seja atendido e a pesquisa possa ser cientificamente validada: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3469"/>
        <w:gridCol w:w="4469"/>
      </w:tblGrid>
      <w:tr>
        <w:trPr>
          <w:tblHeader/>
        </w:trPr>
        <w:tc>
          <w:tcPr>
            <w:tcW w:type="dxa" w:w="17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shd w:fill="1F4E5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Frente</w:t>
            </w:r>
          </w:p>
        </w:tc>
        <w:tc>
          <w:tcPr>
            <w:tcW w:type="dxa" w:w="3469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shd w:fill="1F4E5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Situação Atual</w:t>
            </w:r>
          </w:p>
        </w:tc>
        <w:tc>
          <w:tcPr>
            <w:tcW w:type="dxa" w:w="4469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shd w:fill="1F4E5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Pendência para Atender o Escopo / Validar a Pesquisa</w:t>
            </w:r>
          </w:p>
        </w:tc>
      </w:tr>
      <w:tr>
        <w:tc>
          <w:tcPr>
            <w:tcW w:type="dxa" w:w="17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1. Dados</w:t>
            </w:r>
          </w:p>
        </w:tc>
        <w:tc>
          <w:tcPr>
            <w:tcW w:type="dxa" w:w="3469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Gerador sintético implementado e calibrado com parâmetros históricos do Cerrado, mas não confrontado com dados reais; nenhum arquivo persistido na pasta data/.</w:t>
            </w:r>
          </w:p>
        </w:tc>
        <w:tc>
          <w:tcPr>
            <w:tcW w:type="dxa" w:w="4469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Decidir, junto ao orientador, entre (a) obter e tratar dados reais do INMET/NOAA/ECMWF citados na metodologia original, ou (b) adotar e justificar formalmente o uso da série sintética calibrada como proxy metodológico. Gerar e persistir os datasets bruto e processado.</w:t>
            </w:r>
          </w:p>
        </w:tc>
      </w:tr>
      <w:tr>
        <w:tc>
          <w:tcPr>
            <w:tcW w:type="dxa" w:w="17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2. Análise Exploratória (AED)</w:t>
            </w:r>
          </w:p>
        </w:tc>
        <w:tc>
          <w:tcPr>
            <w:tcW w:type="dxa" w:w="3469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Notebook 01 estruturado (8 seções), nenhuma célula executada.</w:t>
            </w:r>
          </w:p>
        </w:tc>
        <w:tc>
          <w:tcPr>
            <w:tcW w:type="dxa" w:w="4469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Executar integralmente, gerar os gráficos de tendência, sazonalidade e correlação, e redigir as conclusões textuais da AED.</w:t>
            </w:r>
          </w:p>
        </w:tc>
      </w:tr>
      <w:tr>
        <w:tc>
          <w:tcPr>
            <w:tcW w:type="dxa" w:w="17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3. Regressão Linear</w:t>
            </w:r>
          </w:p>
        </w:tc>
        <w:tc>
          <w:tcPr>
            <w:tcW w:type="dxa" w:w="3469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Módulo pronto; notebook 02 parcialmente executado (2 de 9 células).</w:t>
            </w:r>
          </w:p>
        </w:tc>
        <w:tc>
          <w:tcPr>
            <w:tcW w:type="dxa" w:w="4469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Concluir o treinamento, calcular e registrar MAE/MSE/R², gerar o gráfico Real vs. Predito e a análise de resíduos, e salvar o modelo (.pkl).</w:t>
            </w:r>
          </w:p>
        </w:tc>
      </w:tr>
      <w:tr>
        <w:tc>
          <w:tcPr>
            <w:tcW w:type="dxa" w:w="17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4. Classificação (k-NN / Árvore)</w:t>
            </w:r>
          </w:p>
        </w:tc>
        <w:tc>
          <w:tcPr>
            <w:tcW w:type="dxa" w:w="3469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Módulos prontos; notebook 03 iniciado (1 de 11 células).</w:t>
            </w:r>
          </w:p>
        </w:tc>
        <w:tc>
          <w:tcPr>
            <w:tcW w:type="dxa" w:w="4469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Treinar os dois modelos, validar o k via validação cruzada/AUC-ROC, gerar matrizes de confusão, extrair as regras da árvore e salvar os modelos.</w:t>
            </w:r>
          </w:p>
        </w:tc>
      </w:tr>
      <w:tr>
        <w:tc>
          <w:tcPr>
            <w:tcW w:type="dxa" w:w="17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5. Agrupamento (K-Means)</w:t>
            </w:r>
          </w:p>
        </w:tc>
        <w:tc>
          <w:tcPr>
            <w:tcW w:type="dxa" w:w="3469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Módulo pronto; notebook 04 não executado.</w:t>
            </w:r>
          </w:p>
        </w:tc>
        <w:tc>
          <w:tcPr>
            <w:tcW w:type="dxa" w:w="4469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Executar a seleção de k (cotovelo/silhueta), treinar o modelo final, validar com PCA 2D e documentar a interpretação científica dos perfis sazonais.</w:t>
            </w:r>
          </w:p>
        </w:tc>
      </w:tr>
      <w:tr>
        <w:tc>
          <w:tcPr>
            <w:tcW w:type="dxa" w:w="17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6. Redes Neurais (LSTM)</w:t>
            </w:r>
          </w:p>
        </w:tc>
        <w:tc>
          <w:tcPr>
            <w:tcW w:type="dxa" w:w="3469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Arquitetura pronta; notebook 05 não executado.</w:t>
            </w:r>
          </w:p>
        </w:tc>
        <w:tc>
          <w:tcPr>
            <w:tcW w:type="dxa" w:w="4469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Treinar o modelo (etapa de maior custo computacional), avaliar curvas de aprendizado e métricas, e comparar o desempenho com a regressão linear (baseline).</w:t>
            </w:r>
          </w:p>
        </w:tc>
      </w:tr>
      <w:tr>
        <w:tc>
          <w:tcPr>
            <w:tcW w:type="dxa" w:w="17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7. Dashboard</w:t>
            </w:r>
          </w:p>
        </w:tc>
        <w:tc>
          <w:tcPr>
            <w:tcW w:type="dxa" w:w="3469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Interface completa nas 5 páginas; pasta outputs/models/ vazia.</w:t>
            </w:r>
          </w:p>
        </w:tc>
        <w:tc>
          <w:tcPr>
            <w:tcW w:type="dxa" w:w="4469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Persistir todos os modelos treinados em outputs/models/ e validar cada página do dashboard com modelos reais (hoje exibiria avisos de “modelo não encontrado”).</w:t>
            </w:r>
          </w:p>
        </w:tc>
      </w:tr>
      <w:tr>
        <w:tc>
          <w:tcPr>
            <w:tcW w:type="dxa" w:w="1700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8. Validação Científica Consolidada</w:t>
            </w:r>
          </w:p>
        </w:tc>
        <w:tc>
          <w:tcPr>
            <w:tcW w:type="dxa" w:w="3469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Nenhuma métrica de desempenho está documentada formalmente; nenhuma comparação entre os 5 algoritmos foi realizada.</w:t>
            </w:r>
          </w:p>
        </w:tc>
        <w:tc>
          <w:tcPr>
            <w:tcW w:type="dxa" w:w="4469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Consolidar as métricas de todos os modelos em uma análise comparativa única – base indispensável para sustentar a Confecção de Artigos com resultados defensáveis.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</w:rPr>
        <w:t xml:space="preserve">4. Observações sobre o Cronograma Original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O cronograma do relatório de 12/12/2025 previa a Confecção de Artigos para fevereiro, março e abril de 2026. Em junho de 2026, a pesquisa permanece nessa fase, indicando um atraso de aproximadamente dois meses em relação ao planejado. O mapeamento realizado neste relatório mostra que esse atraso está associado à etapa de execução e validação dos modelos, que ainda não foi concluída – redigir artigos científicos com resultados ainda não treinados, avaliados e validados comprometeria o rigor da pesquisa.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Observa-se também que a etapa “Coleta de Dados” do cronograma original não possuía nenhum mês alocado na tabela, o que deve ser esclarecido na atualização: a coleta foi substituída, na prática, por uma geração de dados sintéticos calibrados, conforme descrito na Seção 3 (item 1), e essa decisão precisa ser formalizada com o orientador.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Diante disso, propõe-se incluir, antes da retomada plena da Confecção de Artigos, uma fase de “Mapeamento e Diagnóstico Técnico” (que corresponde a este relatório) seguida de uma fase “Pós-Mapeamento” dedicada a executar, treinar e validar os modelos pendentes.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</w:rPr>
        <w:t xml:space="preserve">5. Cronograma Atualizado – Extensão para o 2º Semestre de 2026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A tabela a seguir apresenta o cronograma atualizado, estendendo o prazo do projeto para o segundo semestre de 2026 (junho a dezembro), de modo a acomodar a fase pós-mapeamento antes da conclusão da Confecção de Artigos, da Apresentação em Congressos e da Entrega dos Resultados: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7"/>
        <w:gridCol w:w="933"/>
        <w:gridCol w:w="933"/>
        <w:gridCol w:w="933"/>
        <w:gridCol w:w="933"/>
        <w:gridCol w:w="933"/>
        <w:gridCol w:w="933"/>
        <w:gridCol w:w="933"/>
      </w:tblGrid>
      <w:tr>
        <w:trPr>
          <w:tblHeader/>
        </w:trPr>
        <w:tc>
          <w:tcPr>
            <w:tcW w:type="dxa" w:w="3107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shd w:fill="1F4E5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ETAPAS</w:t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shd w:fill="1F4E5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jun/26</w:t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shd w:fill="1F4E5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jul/26</w:t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shd w:fill="1F4E5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ago/26</w:t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shd w:fill="1F4E5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set/26</w:t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shd w:fill="1F4E5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out/26</w:t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shd w:fill="1F4E5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nov/26</w:t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shd w:fill="1F4E5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dez/26</w:t>
            </w:r>
          </w:p>
        </w:tc>
      </w:tr>
      <w:tr>
        <w:tc>
          <w:tcPr>
            <w:tcW w:type="dxa" w:w="3107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Mapeamento e Diagnóstico Técnico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(Levantamento do que foi construído e do que falta para atender o escopo)</w:t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shd w:fill="DCE9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X</w:t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107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Pós-Mapeamento – Execução e Treinamento dos Modelos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(Rodar os notebooks integralmente; treinar e persistir os modelos; decidir sobre dados reais x sintéticos)</w:t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shd w:fill="DCE9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X</w:t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shd w:fill="DCE9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X</w:t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107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Validação dos Resultados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(Aplicar e documentar métricas MAE, MSE, R², matriz de confusão, AUC-ROC, silhueta/Davies-Bouldin; validar o dashboard com modelos reais)</w:t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shd w:fill="DCE9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X</w:t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shd w:fill="DCE9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X</w:t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107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Confecção de Artigos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(Redigir e submeter artigos científicos com base nos resultados validados)</w:t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shd w:fill="DCE9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X</w:t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shd w:fill="DCE9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X</w:t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107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Apresentação em Congressos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(Preparar apresentações e participar de eventos)</w:t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shd w:fill="DCE9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X</w:t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shd w:fill="DCE9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X</w:t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shd w:fill="DCE9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X</w:t>
            </w:r>
          </w:p>
        </w:tc>
      </w:tr>
      <w:tr>
        <w:tc>
          <w:tcPr>
            <w:tcW w:type="dxa" w:w="3107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Entrega dos Resultados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(Compilar e entregar o relatório final da pesquisa)</w:t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shd w:fill="DCE9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X</w:t>
            </w:r>
          </w:p>
        </w:tc>
        <w:tc>
          <w:tcPr>
            <w:tcW w:type="dxa" w:w="933"/>
            <w:tcBorders>
              <w:top w:val="single" w:color="B7B7B7" w:sz="2"/>
              <w:left w:val="single" w:color="B7B7B7" w:sz="2"/>
              <w:bottom w:val="single" w:color="B7B7B7" w:sz="2"/>
              <w:right w:val="single" w:color="B7B7B7" w:sz="2"/>
            </w:tcBorders>
            <w:shd w:fill="DCE9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X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</w:rPr>
        <w:t xml:space="preserve">6. Considerações Finais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O semestre avançou de forma consistente na construção da base técnica do projeto: todos os algoritmos previstos na metodologia original foram implementados como módulos de código reutilizáveis, e um dashboard interativo completo foi desenvolvido. O principal gargalo identificado não é de concepção, mas de execução: a maior parte dos notebooks ainda não foi rodada de ponta a ponta, nenhum modelo foi efetivamente treinado e persistido, e a fonte de dados (sintética vs. real) ainda precisa ser formalizada.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O cronograma atualizado reserva o período de julho a setembro de 2026 para fechar essas lacunas (fase Pós-Mapeamento e Validação dos Resultados), de modo que a Confecção de Artigos, retomada a partir de setembro, possa se apoiar em resultados efetivamente treinados, avaliados e validados – condição necessária para a qualidade científica dos artigos e para a Apresentação em Congressos e a Entrega dos Resultados, previstas para o final do segundo semestre de 2026.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8"/>
        <w:szCs w:val="18"/>
      </w:rPr>
      <w:t xml:space="preserve">Página </w:t>
    </w:r>
    <w:r>
      <w:rPr>
        <w:rFonts w:ascii="Arial" w:cs="Arial" w:eastAsia="Arial" w:hAnsi="Arial"/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77777"/>
        <w:sz w:val="18"/>
        <w:szCs w:val="18"/>
      </w:rPr>
      <w:t xml:space="preserve"> de </w:t>
    </w:r>
    <w:r>
      <w:rPr>
        <w:rFonts w:ascii="Arial" w:cs="Arial" w:eastAsia="Arial" w:hAnsi="Arial"/>
        <w:color w:val="777777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4E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75B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2026-06-26T00:21:36.493Z</dcterms:created>
  <dcterms:modified xsi:type="dcterms:W3CDTF">2026-06-26T00:21:36.495Z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