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F37B6" w14:textId="77777777" w:rsidR="00774E69" w:rsidRDefault="00246CAE">
      <w:pPr>
        <w:spacing w:after="160"/>
        <w:jc w:val="center"/>
      </w:pPr>
      <w:r>
        <w:rPr>
          <w:b/>
          <w:bCs/>
          <w:color w:val="1B4B9A"/>
          <w:sz w:val="18"/>
          <w:szCs w:val="18"/>
        </w:rPr>
        <w:t>EAP ENGENHARIA DE ALTA PERFORMANCE</w:t>
      </w:r>
    </w:p>
    <w:p w14:paraId="62692871" w14:textId="77777777" w:rsidR="00774E69" w:rsidRDefault="00246CAE">
      <w:pPr>
        <w:spacing w:after="80"/>
        <w:jc w:val="center"/>
      </w:pPr>
      <w:r>
        <w:rPr>
          <w:color w:val="666666"/>
          <w:sz w:val="14"/>
          <w:szCs w:val="14"/>
        </w:rPr>
        <w:t>ASSESSORIA EM GESTÃO DE OBRAS</w:t>
      </w:r>
    </w:p>
    <w:p w14:paraId="77416365" w14:textId="77777777" w:rsidR="00774E69" w:rsidRDefault="00246CAE">
      <w:pPr>
        <w:spacing w:after="400"/>
        <w:jc w:val="center"/>
      </w:pPr>
      <w:r>
        <w:rPr>
          <w:b/>
          <w:bCs/>
          <w:color w:val="1A1A1A"/>
          <w:sz w:val="28"/>
          <w:szCs w:val="28"/>
        </w:rPr>
        <w:t>Objeções Frequentes — Respostas para o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64E18E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240" w:type="dxa"/>
              <w:left w:w="360" w:type="dxa"/>
              <w:bottom w:w="240" w:type="dxa"/>
              <w:right w:w="360" w:type="dxa"/>
            </w:tcMar>
          </w:tcPr>
          <w:p w14:paraId="228F0C8F" w14:textId="77777777" w:rsidR="00774E69" w:rsidRDefault="00246CAE">
            <w:pPr>
              <w:jc w:val="center"/>
            </w:pPr>
            <w:r>
              <w:rPr>
                <w:color w:val="666666"/>
                <w:sz w:val="20"/>
                <w:szCs w:val="20"/>
              </w:rPr>
              <w:t>Documento de trabalho — use os campos de anotações para inserir suas observações antes de enviar para a equipe de produção.</w:t>
            </w:r>
          </w:p>
        </w:tc>
      </w:tr>
    </w:tbl>
    <w:p w14:paraId="3C363202" w14:textId="77777777" w:rsidR="00774E69" w:rsidRDefault="00774E69">
      <w:pPr>
        <w:spacing w:line="4000" w:lineRule="auto"/>
      </w:pPr>
    </w:p>
    <w:p w14:paraId="06294AE0" w14:textId="77777777" w:rsidR="00774E69" w:rsidRDefault="00246CAE">
      <w:pPr>
        <w:spacing w:after="120"/>
      </w:pPr>
      <w:r>
        <w:rPr>
          <w:b/>
          <w:bCs/>
          <w:color w:val="1B4B9A"/>
          <w:sz w:val="20"/>
          <w:szCs w:val="20"/>
        </w:rPr>
        <w:t>SOBRE ESTE DOCUMENTO</w:t>
      </w:r>
    </w:p>
    <w:p w14:paraId="792A262C" w14:textId="77777777" w:rsidR="00774E69" w:rsidRDefault="00246CAE">
      <w:pPr>
        <w:spacing w:after="100"/>
      </w:pPr>
      <w:r>
        <w:rPr>
          <w:color w:val="444444"/>
        </w:rPr>
        <w:t>Este material reúne 14 objeções reais levantadas por construtoras durante o processo comercial da EAP, organi</w:t>
      </w:r>
      <w:r>
        <w:rPr>
          <w:color w:val="444444"/>
        </w:rPr>
        <w:t>zadas em 5 categorias. Para cada objeção, há:</w:t>
      </w:r>
    </w:p>
    <w:p w14:paraId="61076C08" w14:textId="77777777" w:rsidR="00774E69" w:rsidRDefault="00246CAE">
      <w:pPr>
        <w:pStyle w:val="PargrafodaLista"/>
        <w:numPr>
          <w:ilvl w:val="0"/>
          <w:numId w:val="2"/>
        </w:numPr>
        <w:spacing w:after="60"/>
      </w:pPr>
      <w:r>
        <w:rPr>
          <w:color w:val="444444"/>
        </w:rPr>
        <w:t>A pergunta como o lead costuma fazer (aspas)</w:t>
      </w:r>
    </w:p>
    <w:p w14:paraId="74C84718" w14:textId="77777777" w:rsidR="00774E69" w:rsidRDefault="00246CAE">
      <w:pPr>
        <w:pStyle w:val="PargrafodaLista"/>
        <w:numPr>
          <w:ilvl w:val="0"/>
          <w:numId w:val="2"/>
        </w:numPr>
        <w:spacing w:after="60"/>
      </w:pPr>
      <w:r>
        <w:rPr>
          <w:color w:val="444444"/>
        </w:rPr>
        <w:t>A resposta sugerida para o site / franqueados</w:t>
      </w:r>
    </w:p>
    <w:p w14:paraId="425C5BE7" w14:textId="77777777" w:rsidR="00774E69" w:rsidRDefault="00246CAE">
      <w:pPr>
        <w:pStyle w:val="PargrafodaLista"/>
        <w:numPr>
          <w:ilvl w:val="0"/>
          <w:numId w:val="2"/>
        </w:numPr>
        <w:spacing w:after="300"/>
      </w:pPr>
      <w:r>
        <w:rPr>
          <w:color w:val="444444"/>
        </w:rPr>
        <w:t>Campo de anotações em destaque para edição antes da produção</w:t>
      </w:r>
    </w:p>
    <w:p w14:paraId="6C3E943E" w14:textId="77777777" w:rsidR="00774E69" w:rsidRDefault="00246CAE">
      <w:pPr>
        <w:spacing w:before="480" w:after="160"/>
      </w:pPr>
      <w:r>
        <w:rPr>
          <w:b/>
          <w:bCs/>
          <w:color w:val="FFFFFF"/>
          <w:sz w:val="24"/>
          <w:szCs w:val="24"/>
          <w:shd w:val="clear" w:color="auto" w:fill="D97706"/>
        </w:rPr>
        <w:t xml:space="preserve">  1. INVESTIMENTO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5AAA09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37C9FADF" w14:textId="77777777" w:rsidR="00774E69" w:rsidRDefault="00246CAE">
            <w:proofErr w:type="gramStart"/>
            <w:r>
              <w:rPr>
                <w:b/>
                <w:bCs/>
                <w:color w:val="D97706"/>
              </w:rPr>
              <w:t xml:space="preserve">1.1  </w:t>
            </w:r>
            <w:r>
              <w:rPr>
                <w:b/>
                <w:bCs/>
                <w:i/>
                <w:iCs/>
                <w:color w:val="1A1A1A"/>
              </w:rPr>
              <w:t>"</w:t>
            </w:r>
            <w:proofErr w:type="gramEnd"/>
            <w:r>
              <w:rPr>
                <w:b/>
                <w:bCs/>
                <w:i/>
                <w:iCs/>
                <w:color w:val="1A1A1A"/>
              </w:rPr>
              <w:t>Está caro. Não tenho orçamento para isso agora."</w:t>
            </w:r>
          </w:p>
        </w:tc>
      </w:tr>
      <w:tr w:rsidR="00774E69" w14:paraId="4690DA2C" w14:textId="77777777">
        <w:tblPrEx>
          <w:tblCellMar>
            <w:top w:w="0" w:type="dxa"/>
            <w:bottom w:w="0" w:type="dxa"/>
          </w:tblCellMar>
        </w:tblPrEx>
        <w:tc>
          <w:tcPr>
            <w:tcW w:w="9360" w:type="dxa"/>
            <w:tcBorders>
              <w:top w:val="none" w:sz="0" w:space="0" w:color="FFFFFF"/>
              <w:left w:val="single" w:sz="12" w:space="0" w:color="D97706"/>
              <w:bottom w:val="none" w:sz="0" w:space="0" w:color="FFFFFF"/>
              <w:right w:val="none" w:sz="0" w:space="0" w:color="FFFFFF"/>
            </w:tcBorders>
            <w:shd w:val="clear" w:color="auto" w:fill="FFFFFF"/>
            <w:tcMar>
              <w:top w:w="180" w:type="dxa"/>
              <w:left w:w="280" w:type="dxa"/>
              <w:bottom w:w="180" w:type="dxa"/>
              <w:right w:w="240" w:type="dxa"/>
            </w:tcMar>
          </w:tcPr>
          <w:p w14:paraId="484191A1" w14:textId="77777777" w:rsidR="00774E69" w:rsidRDefault="00246CAE">
            <w:pPr>
              <w:spacing w:after="100"/>
            </w:pPr>
            <w:r>
              <w:rPr>
                <w:color w:val="444444"/>
              </w:rPr>
              <w:t>O custo de não ter gestão é sempre maior. Em média, obras sem metodologia de controle perdem entre 8% e 15% da margem em retrabalho, compras emergenciais e atrasos — o que representa muito mais do que o in</w:t>
            </w:r>
            <w:r>
              <w:rPr>
                <w:color w:val="444444"/>
              </w:rPr>
              <w:t>vestimento na assessoria. Além disso, trabalhamos com modelos de entrada que cabem no momento da sua empresa e evoluem conforme os resultados aparecem.</w:t>
            </w:r>
          </w:p>
          <w:p w14:paraId="167CA349" w14:textId="77777777" w:rsidR="00774E69" w:rsidRDefault="00246CAE">
            <w:pPr>
              <w:spacing w:after="100"/>
            </w:pPr>
            <w:r>
              <w:rPr>
                <w:color w:val="444444"/>
              </w:rPr>
              <w:t>O que acontece com a sua obra se o próximo mês continuar como está?</w:t>
            </w:r>
          </w:p>
        </w:tc>
      </w:tr>
      <w:tr w:rsidR="00774E69" w14:paraId="5179354A"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3E0E9BBB"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adicione dados de ROI, exemplos de casos reais ou ajustes de tom aqui]</w:t>
            </w:r>
          </w:p>
        </w:tc>
      </w:tr>
    </w:tbl>
    <w:p w14:paraId="31FE485A"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0E3717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032A70D4" w14:textId="77777777" w:rsidR="00774E69" w:rsidRDefault="00246CAE">
            <w:proofErr w:type="gramStart"/>
            <w:r>
              <w:rPr>
                <w:b/>
                <w:bCs/>
                <w:color w:val="D97706"/>
              </w:rPr>
              <w:lastRenderedPageBreak/>
              <w:t xml:space="preserve">1.2  </w:t>
            </w:r>
            <w:r>
              <w:rPr>
                <w:b/>
                <w:bCs/>
                <w:i/>
                <w:iCs/>
                <w:color w:val="1A1A1A"/>
              </w:rPr>
              <w:t>"</w:t>
            </w:r>
            <w:proofErr w:type="gramEnd"/>
            <w:r>
              <w:rPr>
                <w:b/>
                <w:bCs/>
                <w:i/>
                <w:iCs/>
                <w:color w:val="1A1A1A"/>
              </w:rPr>
              <w:t>Não sei se o retorno compensa."</w:t>
            </w:r>
          </w:p>
        </w:tc>
      </w:tr>
      <w:tr w:rsidR="00774E69" w14:paraId="743A7E2B" w14:textId="77777777">
        <w:tblPrEx>
          <w:tblCellMar>
            <w:top w:w="0" w:type="dxa"/>
            <w:bottom w:w="0" w:type="dxa"/>
          </w:tblCellMar>
        </w:tblPrEx>
        <w:tc>
          <w:tcPr>
            <w:tcW w:w="9360" w:type="dxa"/>
            <w:tcBorders>
              <w:top w:val="none" w:sz="0" w:space="0" w:color="FFFFFF"/>
              <w:left w:val="single" w:sz="12" w:space="0" w:color="D97706"/>
              <w:bottom w:val="none" w:sz="0" w:space="0" w:color="FFFFFF"/>
              <w:right w:val="none" w:sz="0" w:space="0" w:color="FFFFFF"/>
            </w:tcBorders>
            <w:shd w:val="clear" w:color="auto" w:fill="FFFFFF"/>
            <w:tcMar>
              <w:top w:w="180" w:type="dxa"/>
              <w:left w:w="280" w:type="dxa"/>
              <w:bottom w:w="180" w:type="dxa"/>
              <w:right w:w="240" w:type="dxa"/>
            </w:tcMar>
          </w:tcPr>
          <w:p w14:paraId="727E5973" w14:textId="77777777" w:rsidR="00774E69" w:rsidRDefault="00246CAE">
            <w:pPr>
              <w:spacing w:after="100"/>
            </w:pPr>
            <w:r>
              <w:rPr>
                <w:color w:val="444444"/>
              </w:rPr>
              <w:t>95% das obras no Brasil são entregues com atraso. Esse dado tem um custo: multas contratuais, perda de crédito com fornecedores e erosão de margem que acontece mês a mês. Nossa metodologia foi validada em mais de 500 obras. Em vez de prometer resultado, mo</w:t>
            </w:r>
            <w:r>
              <w:rPr>
                <w:color w:val="444444"/>
              </w:rPr>
              <w:t>stramos casos reais com números — e propomos um diagnóstico inicial antes de qualquer compromisso.</w:t>
            </w:r>
          </w:p>
        </w:tc>
      </w:tr>
      <w:tr w:rsidR="00774E69" w14:paraId="4814DE77"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03073F52"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incluir testemunho de cliente ou case específico aqui]</w:t>
            </w:r>
          </w:p>
        </w:tc>
      </w:tr>
    </w:tbl>
    <w:p w14:paraId="63A7657B" w14:textId="77777777" w:rsidR="00774E69" w:rsidRDefault="00774E69">
      <w:pPr>
        <w:spacing w:line="2000" w:lineRule="auto"/>
      </w:pPr>
    </w:p>
    <w:p w14:paraId="27ECFFE5" w14:textId="77777777" w:rsidR="00774E69" w:rsidRDefault="00246CAE">
      <w:pPr>
        <w:spacing w:before="480" w:after="160"/>
      </w:pPr>
      <w:r>
        <w:rPr>
          <w:b/>
          <w:bCs/>
          <w:color w:val="FFFFFF"/>
          <w:sz w:val="24"/>
          <w:szCs w:val="24"/>
          <w:shd w:val="clear" w:color="auto" w:fill="1B4B9A"/>
        </w:rPr>
        <w:t xml:space="preserve">  2. CONFIANÇA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09778D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4A21B05C" w14:textId="77777777" w:rsidR="00774E69" w:rsidRDefault="00246CAE">
            <w:proofErr w:type="gramStart"/>
            <w:r>
              <w:rPr>
                <w:b/>
                <w:bCs/>
                <w:color w:val="1B4B9A"/>
              </w:rPr>
              <w:t xml:space="preserve">2.1  </w:t>
            </w:r>
            <w:r>
              <w:rPr>
                <w:b/>
                <w:bCs/>
                <w:i/>
                <w:iCs/>
                <w:color w:val="1A1A1A"/>
              </w:rPr>
              <w:t>"</w:t>
            </w:r>
            <w:proofErr w:type="gramEnd"/>
            <w:r>
              <w:rPr>
                <w:b/>
                <w:bCs/>
                <w:i/>
                <w:iCs/>
                <w:color w:val="1A1A1A"/>
              </w:rPr>
              <w:t>Já contratei consultoria antes e não funcionou."</w:t>
            </w:r>
          </w:p>
        </w:tc>
      </w:tr>
      <w:tr w:rsidR="00774E69" w14:paraId="48587176" w14:textId="77777777">
        <w:tblPrEx>
          <w:tblCellMar>
            <w:top w:w="0" w:type="dxa"/>
            <w:bottom w:w="0" w:type="dxa"/>
          </w:tblCellMar>
        </w:tblPrEx>
        <w:tc>
          <w:tcPr>
            <w:tcW w:w="9360" w:type="dxa"/>
            <w:tcBorders>
              <w:top w:val="none" w:sz="0" w:space="0" w:color="FFFFFF"/>
              <w:left w:val="single" w:sz="12" w:space="0" w:color="1B4B9A"/>
              <w:bottom w:val="none" w:sz="0" w:space="0" w:color="FFFFFF"/>
              <w:right w:val="none" w:sz="0" w:space="0" w:color="FFFFFF"/>
            </w:tcBorders>
            <w:shd w:val="clear" w:color="auto" w:fill="FFFFFF"/>
            <w:tcMar>
              <w:top w:w="180" w:type="dxa"/>
              <w:left w:w="280" w:type="dxa"/>
              <w:bottom w:w="180" w:type="dxa"/>
              <w:right w:w="240" w:type="dxa"/>
            </w:tcMar>
          </w:tcPr>
          <w:p w14:paraId="4A876C74" w14:textId="113A4CD1" w:rsidR="00774E69" w:rsidRDefault="00246CAE">
            <w:pPr>
              <w:spacing w:after="100"/>
            </w:pPr>
            <w:r>
              <w:rPr>
                <w:color w:val="444444"/>
              </w:rPr>
              <w:t>A maioria das consultorias entrega relatório e vai embora. A EAP funciona diferente: n</w:t>
            </w:r>
            <w:r>
              <w:rPr>
                <w:color w:val="444444"/>
              </w:rPr>
              <w:t>os tornamos seu braço de trabalho e da sua e</w:t>
            </w:r>
            <w:r>
              <w:rPr>
                <w:color w:val="444444"/>
              </w:rPr>
              <w:t xml:space="preserve">quipe, implementando a rotina de gestão no dia a dia — não só diagnosticando. Usamos o </w:t>
            </w:r>
            <w:proofErr w:type="spellStart"/>
            <w:r>
              <w:rPr>
                <w:color w:val="444444"/>
              </w:rPr>
              <w:t>GoBuilder</w:t>
            </w:r>
            <w:proofErr w:type="spellEnd"/>
            <w:r>
              <w:rPr>
                <w:color w:val="444444"/>
              </w:rPr>
              <w:t xml:space="preserve"> para acompanhar o avanço fís</w:t>
            </w:r>
            <w:r>
              <w:rPr>
                <w:color w:val="444444"/>
              </w:rPr>
              <w:t xml:space="preserve">ico e financeiro da obra em tempo real, controlar prazo e custos, </w:t>
            </w:r>
            <w:r>
              <w:rPr>
                <w:color w:val="444444"/>
              </w:rPr>
              <w:t>com revisões quinzenais e plano de ação atualizado.</w:t>
            </w:r>
          </w:p>
        </w:tc>
      </w:tr>
      <w:tr w:rsidR="00774E69" w14:paraId="65361375"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0405951C"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 xml:space="preserve">[Espaço para anotações: reforçar diferencial do </w:t>
            </w:r>
            <w:proofErr w:type="spellStart"/>
            <w:r>
              <w:rPr>
                <w:i/>
                <w:iCs/>
                <w:color w:val="92400E"/>
                <w:sz w:val="19"/>
                <w:szCs w:val="19"/>
              </w:rPr>
              <w:t>GoBuilder</w:t>
            </w:r>
            <w:proofErr w:type="spellEnd"/>
            <w:r>
              <w:rPr>
                <w:i/>
                <w:iCs/>
                <w:color w:val="92400E"/>
                <w:sz w:val="19"/>
                <w:szCs w:val="19"/>
              </w:rPr>
              <w:t xml:space="preserve"> com print ou dado de uso]</w:t>
            </w:r>
          </w:p>
        </w:tc>
      </w:tr>
    </w:tbl>
    <w:p w14:paraId="669569DC"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7C389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0D0B0E84" w14:textId="77777777" w:rsidR="00774E69" w:rsidRDefault="00246CAE">
            <w:proofErr w:type="gramStart"/>
            <w:r>
              <w:rPr>
                <w:b/>
                <w:bCs/>
                <w:color w:val="1B4B9A"/>
              </w:rPr>
              <w:t xml:space="preserve">2.2  </w:t>
            </w:r>
            <w:r>
              <w:rPr>
                <w:b/>
                <w:bCs/>
                <w:i/>
                <w:iCs/>
                <w:color w:val="1A1A1A"/>
              </w:rPr>
              <w:t>"</w:t>
            </w:r>
            <w:proofErr w:type="gramEnd"/>
            <w:r>
              <w:rPr>
                <w:b/>
                <w:bCs/>
                <w:i/>
                <w:iCs/>
                <w:color w:val="1A1A1A"/>
              </w:rPr>
              <w:t>Como sei que vocês entendem da minha realidade?"</w:t>
            </w:r>
          </w:p>
        </w:tc>
      </w:tr>
      <w:tr w:rsidR="00774E69" w14:paraId="4464B5D6" w14:textId="77777777">
        <w:tblPrEx>
          <w:tblCellMar>
            <w:top w:w="0" w:type="dxa"/>
            <w:bottom w:w="0" w:type="dxa"/>
          </w:tblCellMar>
        </w:tblPrEx>
        <w:tc>
          <w:tcPr>
            <w:tcW w:w="9360" w:type="dxa"/>
            <w:tcBorders>
              <w:top w:val="none" w:sz="0" w:space="0" w:color="FFFFFF"/>
              <w:left w:val="single" w:sz="12" w:space="0" w:color="1B4B9A"/>
              <w:bottom w:val="none" w:sz="0" w:space="0" w:color="FFFFFF"/>
              <w:right w:val="none" w:sz="0" w:space="0" w:color="FFFFFF"/>
            </w:tcBorders>
            <w:shd w:val="clear" w:color="auto" w:fill="FFFFFF"/>
            <w:tcMar>
              <w:top w:w="180" w:type="dxa"/>
              <w:left w:w="280" w:type="dxa"/>
              <w:bottom w:w="180" w:type="dxa"/>
              <w:right w:w="240" w:type="dxa"/>
            </w:tcMar>
          </w:tcPr>
          <w:p w14:paraId="234C6252" w14:textId="77777777" w:rsidR="00774E69" w:rsidRDefault="00246CAE">
            <w:pPr>
              <w:spacing w:after="100"/>
            </w:pPr>
            <w:r>
              <w:rPr>
                <w:color w:val="444444"/>
              </w:rPr>
              <w:t xml:space="preserve">Nossa base tem mais de 500 obras analisadas — de </w:t>
            </w:r>
            <w:proofErr w:type="spellStart"/>
            <w:r>
              <w:rPr>
                <w:color w:val="444444"/>
              </w:rPr>
              <w:t>PMEs</w:t>
            </w:r>
            <w:proofErr w:type="spellEnd"/>
            <w:r>
              <w:rPr>
                <w:color w:val="444444"/>
              </w:rPr>
              <w:t xml:space="preserve"> a contratos públicos de grande porte. Conhecemos os gargalos do setor: medição no canteiro, fluxo de caixa descontrolado, dependência do dono para qualquer decisão. Antes de qualquer proposta, </w:t>
            </w:r>
            <w:r>
              <w:rPr>
                <w:color w:val="444444"/>
              </w:rPr>
              <w:lastRenderedPageBreak/>
              <w:t>fazemos u</w:t>
            </w:r>
            <w:r>
              <w:rPr>
                <w:color w:val="444444"/>
              </w:rPr>
              <w:t>ma Sessão Estratégica para entender a sua operação específica. Nada é genérico.</w:t>
            </w:r>
          </w:p>
        </w:tc>
      </w:tr>
      <w:tr w:rsidR="00774E69" w14:paraId="3C7148A8"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66A0A89C" w14:textId="77777777" w:rsidR="00774E69" w:rsidRDefault="00246CAE">
            <w:r>
              <w:rPr>
                <w:b/>
                <w:bCs/>
                <w:color w:val="D97706"/>
                <w:sz w:val="19"/>
                <w:szCs w:val="19"/>
              </w:rPr>
              <w:lastRenderedPageBreak/>
              <w:t>✏</w:t>
            </w:r>
            <w:r>
              <w:rPr>
                <w:b/>
                <w:bCs/>
                <w:color w:val="D97706"/>
                <w:sz w:val="19"/>
                <w:szCs w:val="19"/>
              </w:rPr>
              <w:t xml:space="preserve"> ANOTAÇÕES: </w:t>
            </w:r>
            <w:r>
              <w:rPr>
                <w:i/>
                <w:iCs/>
                <w:color w:val="92400E"/>
                <w:sz w:val="19"/>
                <w:szCs w:val="19"/>
              </w:rPr>
              <w:t>[Espaço para anotações: adicionar segmentos específicos se quiser segmentar por tipo de construtora]</w:t>
            </w:r>
          </w:p>
        </w:tc>
      </w:tr>
    </w:tbl>
    <w:p w14:paraId="60FD22A8"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04C490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6A2767C3" w14:textId="77777777" w:rsidR="00774E69" w:rsidRDefault="00246CAE">
            <w:proofErr w:type="gramStart"/>
            <w:r>
              <w:rPr>
                <w:b/>
                <w:bCs/>
                <w:color w:val="1B4B9A"/>
              </w:rPr>
              <w:t xml:space="preserve">2.3  </w:t>
            </w:r>
            <w:r>
              <w:rPr>
                <w:b/>
                <w:bCs/>
                <w:i/>
                <w:iCs/>
                <w:color w:val="1A1A1A"/>
              </w:rPr>
              <w:t>"</w:t>
            </w:r>
            <w:proofErr w:type="gramEnd"/>
            <w:r>
              <w:rPr>
                <w:b/>
                <w:bCs/>
                <w:i/>
                <w:iCs/>
                <w:color w:val="1A1A1A"/>
              </w:rPr>
              <w:t>Vocês são pequenos. Têm capacidade de atender minha empresa?"</w:t>
            </w:r>
          </w:p>
        </w:tc>
      </w:tr>
      <w:tr w:rsidR="00774E69" w14:paraId="27DA2A9D" w14:textId="77777777">
        <w:tblPrEx>
          <w:tblCellMar>
            <w:top w:w="0" w:type="dxa"/>
            <w:bottom w:w="0" w:type="dxa"/>
          </w:tblCellMar>
        </w:tblPrEx>
        <w:tc>
          <w:tcPr>
            <w:tcW w:w="9360" w:type="dxa"/>
            <w:tcBorders>
              <w:top w:val="none" w:sz="0" w:space="0" w:color="FFFFFF"/>
              <w:left w:val="single" w:sz="12" w:space="0" w:color="1B4B9A"/>
              <w:bottom w:val="none" w:sz="0" w:space="0" w:color="FFFFFF"/>
              <w:right w:val="none" w:sz="0" w:space="0" w:color="FFFFFF"/>
            </w:tcBorders>
            <w:shd w:val="clear" w:color="auto" w:fill="FFFFFF"/>
            <w:tcMar>
              <w:top w:w="180" w:type="dxa"/>
              <w:left w:w="280" w:type="dxa"/>
              <w:bottom w:w="180" w:type="dxa"/>
              <w:right w:w="240" w:type="dxa"/>
            </w:tcMar>
          </w:tcPr>
          <w:p w14:paraId="03F34CE9" w14:textId="77777777" w:rsidR="00774E69" w:rsidRDefault="00246CAE">
            <w:pPr>
              <w:spacing w:after="100"/>
            </w:pPr>
            <w:r>
              <w:rPr>
                <w:color w:val="444444"/>
              </w:rPr>
              <w:t>Somos uma rede de engenheiros especialistas com presença nacional, operando via franquias com padrão técnico centralizado. Isso significa que você tem um profissional com método validado, suporte de uma estrutura nacional e tecnologia própria — sem os cust</w:t>
            </w:r>
            <w:r>
              <w:rPr>
                <w:color w:val="444444"/>
              </w:rPr>
              <w:t>os de uma grande consultoria.</w:t>
            </w:r>
          </w:p>
        </w:tc>
      </w:tr>
      <w:tr w:rsidR="00774E69" w14:paraId="0A4672DA"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77A183B3"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mencionar número de cidades/estados de atuação se já tiver esse dado]</w:t>
            </w:r>
          </w:p>
        </w:tc>
      </w:tr>
    </w:tbl>
    <w:p w14:paraId="4BB0BC62" w14:textId="77777777" w:rsidR="00774E69" w:rsidRDefault="00774E69">
      <w:pPr>
        <w:spacing w:line="2000" w:lineRule="auto"/>
      </w:pPr>
    </w:p>
    <w:p w14:paraId="5637D55D" w14:textId="77777777" w:rsidR="00774E69" w:rsidRDefault="00246CAE">
      <w:pPr>
        <w:spacing w:before="480" w:after="160"/>
      </w:pPr>
      <w:r>
        <w:rPr>
          <w:b/>
          <w:bCs/>
          <w:color w:val="FFFFFF"/>
          <w:sz w:val="24"/>
          <w:szCs w:val="24"/>
          <w:shd w:val="clear" w:color="auto" w:fill="16A34A"/>
        </w:rPr>
        <w:t xml:space="preserve">  3. RESULTADO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464825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370141DA" w14:textId="77777777" w:rsidR="00774E69" w:rsidRDefault="00246CAE">
            <w:proofErr w:type="gramStart"/>
            <w:r>
              <w:rPr>
                <w:b/>
                <w:bCs/>
                <w:color w:val="16A34A"/>
              </w:rPr>
              <w:t xml:space="preserve">3.1  </w:t>
            </w:r>
            <w:r>
              <w:rPr>
                <w:b/>
                <w:bCs/>
                <w:i/>
                <w:iCs/>
                <w:color w:val="1A1A1A"/>
              </w:rPr>
              <w:t>"</w:t>
            </w:r>
            <w:proofErr w:type="gramEnd"/>
            <w:r>
              <w:rPr>
                <w:b/>
                <w:bCs/>
                <w:i/>
                <w:iCs/>
                <w:color w:val="1A1A1A"/>
              </w:rPr>
              <w:t>Minha obra está indo bem. Não preciso de gestão agora."</w:t>
            </w:r>
          </w:p>
        </w:tc>
      </w:tr>
      <w:tr w:rsidR="00774E69" w14:paraId="72C92F94" w14:textId="77777777">
        <w:tblPrEx>
          <w:tblCellMar>
            <w:top w:w="0" w:type="dxa"/>
            <w:bottom w:w="0" w:type="dxa"/>
          </w:tblCellMar>
        </w:tblPrEx>
        <w:tc>
          <w:tcPr>
            <w:tcW w:w="9360" w:type="dxa"/>
            <w:tcBorders>
              <w:top w:val="none" w:sz="0" w:space="0" w:color="FFFFFF"/>
              <w:left w:val="single" w:sz="12" w:space="0" w:color="16A34A"/>
              <w:bottom w:val="none" w:sz="0" w:space="0" w:color="FFFFFF"/>
              <w:right w:val="none" w:sz="0" w:space="0" w:color="FFFFFF"/>
            </w:tcBorders>
            <w:shd w:val="clear" w:color="auto" w:fill="FFFFFF"/>
            <w:tcMar>
              <w:top w:w="180" w:type="dxa"/>
              <w:left w:w="280" w:type="dxa"/>
              <w:bottom w:w="180" w:type="dxa"/>
              <w:right w:w="240" w:type="dxa"/>
            </w:tcMar>
          </w:tcPr>
          <w:p w14:paraId="58DB5E9A" w14:textId="77777777" w:rsidR="00774E69" w:rsidRDefault="00246CAE">
            <w:pPr>
              <w:spacing w:after="100"/>
            </w:pPr>
            <w:r>
              <w:rPr>
                <w:color w:val="444444"/>
              </w:rPr>
              <w:t>Quase todo problema grave de obra começa quando ela "está indo bem". É nessa fase que atrasos silenciosos se acumulam, compras fora do planejamento comprometem o caixa e a equipe desenvolve dependência do improviso. O melhor momento para implementar um sis</w:t>
            </w:r>
            <w:r>
              <w:rPr>
                <w:color w:val="444444"/>
              </w:rPr>
              <w:t>tema de gestão é antes da crise — não durante.</w:t>
            </w:r>
          </w:p>
        </w:tc>
      </w:tr>
      <w:tr w:rsidR="00774E69" w14:paraId="6952F033"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2B3347B7"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usar metáfora de manutenção preventiva vs. corretiva se ajudar]</w:t>
            </w:r>
          </w:p>
        </w:tc>
      </w:tr>
    </w:tbl>
    <w:p w14:paraId="2DD5C1A0"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372828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7C71DC95" w14:textId="77777777" w:rsidR="00774E69" w:rsidRDefault="00246CAE">
            <w:proofErr w:type="gramStart"/>
            <w:r>
              <w:rPr>
                <w:b/>
                <w:bCs/>
                <w:color w:val="16A34A"/>
              </w:rPr>
              <w:lastRenderedPageBreak/>
              <w:t xml:space="preserve">3.2  </w:t>
            </w:r>
            <w:r>
              <w:rPr>
                <w:b/>
                <w:bCs/>
                <w:i/>
                <w:iCs/>
                <w:color w:val="1A1A1A"/>
              </w:rPr>
              <w:t>"</w:t>
            </w:r>
            <w:proofErr w:type="gramEnd"/>
            <w:r>
              <w:rPr>
                <w:b/>
                <w:bCs/>
                <w:i/>
                <w:iCs/>
                <w:color w:val="1A1A1A"/>
              </w:rPr>
              <w:t>Já tenho um mestre de obras experiente. Para que serve a gestão?"</w:t>
            </w:r>
          </w:p>
        </w:tc>
      </w:tr>
      <w:tr w:rsidR="00774E69" w14:paraId="772D7103" w14:textId="77777777">
        <w:tblPrEx>
          <w:tblCellMar>
            <w:top w:w="0" w:type="dxa"/>
            <w:bottom w:w="0" w:type="dxa"/>
          </w:tblCellMar>
        </w:tblPrEx>
        <w:tc>
          <w:tcPr>
            <w:tcW w:w="9360" w:type="dxa"/>
            <w:tcBorders>
              <w:top w:val="none" w:sz="0" w:space="0" w:color="FFFFFF"/>
              <w:left w:val="single" w:sz="12" w:space="0" w:color="16A34A"/>
              <w:bottom w:val="none" w:sz="0" w:space="0" w:color="FFFFFF"/>
              <w:right w:val="none" w:sz="0" w:space="0" w:color="FFFFFF"/>
            </w:tcBorders>
            <w:shd w:val="clear" w:color="auto" w:fill="FFFFFF"/>
            <w:tcMar>
              <w:top w:w="180" w:type="dxa"/>
              <w:left w:w="280" w:type="dxa"/>
              <w:bottom w:w="180" w:type="dxa"/>
              <w:right w:w="240" w:type="dxa"/>
            </w:tcMar>
          </w:tcPr>
          <w:p w14:paraId="1AA997B3" w14:textId="77777777" w:rsidR="00774E69" w:rsidRDefault="00246CAE">
            <w:pPr>
              <w:spacing w:after="100"/>
            </w:pPr>
            <w:r>
              <w:rPr>
                <w:color w:val="444444"/>
              </w:rPr>
              <w:t>O mestre de obras sabe executar. A gestão serve para conectar a execução com o planejamento, o fluxo de caixa e os prazos contratuais — algo que nenhum mestre deveria carregar sozinho. Com o método EAP, o cronograma sai da cabeça do mestre e vira um sistem</w:t>
            </w:r>
            <w:r>
              <w:rPr>
                <w:color w:val="444444"/>
              </w:rPr>
              <w:t xml:space="preserve">a compartilhado, rastreável e </w:t>
            </w:r>
            <w:proofErr w:type="spellStart"/>
            <w:r>
              <w:rPr>
                <w:color w:val="444444"/>
              </w:rPr>
              <w:t>auditável</w:t>
            </w:r>
            <w:proofErr w:type="spellEnd"/>
            <w:r>
              <w:rPr>
                <w:color w:val="444444"/>
              </w:rPr>
              <w:t>. Isso protege você e protege ele.</w:t>
            </w:r>
          </w:p>
        </w:tc>
      </w:tr>
      <w:tr w:rsidR="00774E69" w14:paraId="58A0F79A"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255568C4"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 xml:space="preserve">[Espaço para anotações: este ponto ressoa bem em </w:t>
            </w:r>
            <w:proofErr w:type="spellStart"/>
            <w:r>
              <w:rPr>
                <w:i/>
                <w:iCs/>
                <w:color w:val="92400E"/>
                <w:sz w:val="19"/>
                <w:szCs w:val="19"/>
              </w:rPr>
              <w:t>PMEs</w:t>
            </w:r>
            <w:proofErr w:type="spellEnd"/>
            <w:r>
              <w:rPr>
                <w:i/>
                <w:iCs/>
                <w:color w:val="92400E"/>
                <w:sz w:val="19"/>
                <w:szCs w:val="19"/>
              </w:rPr>
              <w:t xml:space="preserve"> — considerar destacar mais]</w:t>
            </w:r>
          </w:p>
        </w:tc>
      </w:tr>
    </w:tbl>
    <w:p w14:paraId="3247A4F7"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1AA45F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01905F4B" w14:textId="77777777" w:rsidR="00774E69" w:rsidRDefault="00246CAE">
            <w:proofErr w:type="gramStart"/>
            <w:r>
              <w:rPr>
                <w:b/>
                <w:bCs/>
                <w:color w:val="16A34A"/>
              </w:rPr>
              <w:t xml:space="preserve">3.3  </w:t>
            </w:r>
            <w:r>
              <w:rPr>
                <w:b/>
                <w:bCs/>
                <w:i/>
                <w:iCs/>
                <w:color w:val="1A1A1A"/>
              </w:rPr>
              <w:t>"</w:t>
            </w:r>
            <w:proofErr w:type="gramEnd"/>
            <w:r>
              <w:rPr>
                <w:b/>
                <w:bCs/>
                <w:i/>
                <w:iCs/>
                <w:color w:val="1A1A1A"/>
              </w:rPr>
              <w:t>Software sozinho já resolve. Não preciso de assessoria."</w:t>
            </w:r>
          </w:p>
        </w:tc>
      </w:tr>
      <w:tr w:rsidR="00774E69" w14:paraId="05531D7B" w14:textId="77777777">
        <w:tblPrEx>
          <w:tblCellMar>
            <w:top w:w="0" w:type="dxa"/>
            <w:bottom w:w="0" w:type="dxa"/>
          </w:tblCellMar>
        </w:tblPrEx>
        <w:tc>
          <w:tcPr>
            <w:tcW w:w="9360" w:type="dxa"/>
            <w:tcBorders>
              <w:top w:val="none" w:sz="0" w:space="0" w:color="FFFFFF"/>
              <w:left w:val="single" w:sz="12" w:space="0" w:color="16A34A"/>
              <w:bottom w:val="none" w:sz="0" w:space="0" w:color="FFFFFF"/>
              <w:right w:val="none" w:sz="0" w:space="0" w:color="FFFFFF"/>
            </w:tcBorders>
            <w:shd w:val="clear" w:color="auto" w:fill="FFFFFF"/>
            <w:tcMar>
              <w:top w:w="180" w:type="dxa"/>
              <w:left w:w="280" w:type="dxa"/>
              <w:bottom w:w="180" w:type="dxa"/>
              <w:right w:w="240" w:type="dxa"/>
            </w:tcMar>
          </w:tcPr>
          <w:p w14:paraId="2EE79530" w14:textId="108ADE63" w:rsidR="00774E69" w:rsidRDefault="00246CAE">
            <w:pPr>
              <w:spacing w:after="100"/>
            </w:pPr>
            <w:r>
              <w:rPr>
                <w:color w:val="444444"/>
              </w:rPr>
              <w:t xml:space="preserve">Software é ferramenta, não método. O </w:t>
            </w:r>
            <w:proofErr w:type="spellStart"/>
            <w:r>
              <w:rPr>
                <w:color w:val="444444"/>
              </w:rPr>
              <w:t>GoBuilder</w:t>
            </w:r>
            <w:proofErr w:type="spellEnd"/>
            <w:r>
              <w:rPr>
                <w:color w:val="444444"/>
              </w:rPr>
              <w:t>, nossa tecnologia própria, é poderoso — mas o que faz a diferença é a rotina de gestão que noss</w:t>
            </w:r>
            <w:r>
              <w:rPr>
                <w:color w:val="444444"/>
              </w:rPr>
              <w:t>o assessor</w:t>
            </w:r>
            <w:r>
              <w:rPr>
                <w:color w:val="444444"/>
              </w:rPr>
              <w:t xml:space="preserve"> acompanha: reuniões de ciclo, mapeamento de restrições, plano de ação. Sem isso, qualquer sistema vira uma planilha </w:t>
            </w:r>
            <w:r>
              <w:rPr>
                <w:color w:val="444444"/>
              </w:rPr>
              <w:t>cara que ninguém usa.</w:t>
            </w:r>
          </w:p>
        </w:tc>
      </w:tr>
      <w:tr w:rsidR="00774E69" w14:paraId="44790A37"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609EBB01"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comparar com outras ferramentas do mercado se quiser reforçar posicionamento]</w:t>
            </w:r>
          </w:p>
        </w:tc>
      </w:tr>
    </w:tbl>
    <w:p w14:paraId="7289B0E6" w14:textId="77777777" w:rsidR="00774E69" w:rsidRDefault="00774E69">
      <w:pPr>
        <w:spacing w:line="2000" w:lineRule="auto"/>
      </w:pPr>
    </w:p>
    <w:p w14:paraId="27546E5A" w14:textId="77777777" w:rsidR="00774E69" w:rsidRDefault="00246CAE">
      <w:pPr>
        <w:spacing w:before="480" w:after="160"/>
      </w:pPr>
      <w:r>
        <w:rPr>
          <w:b/>
          <w:bCs/>
          <w:color w:val="FFFFFF"/>
          <w:sz w:val="24"/>
          <w:szCs w:val="24"/>
          <w:shd w:val="clear" w:color="auto" w:fill="9333EA"/>
        </w:rPr>
        <w:t xml:space="preserve">  4. ADEQUAÇÃO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23A984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6D1A43D7" w14:textId="77777777" w:rsidR="00774E69" w:rsidRDefault="00246CAE">
            <w:proofErr w:type="gramStart"/>
            <w:r>
              <w:rPr>
                <w:b/>
                <w:bCs/>
                <w:color w:val="9333EA"/>
              </w:rPr>
              <w:t xml:space="preserve">4.1  </w:t>
            </w:r>
            <w:r>
              <w:rPr>
                <w:b/>
                <w:bCs/>
                <w:i/>
                <w:iCs/>
                <w:color w:val="1A1A1A"/>
              </w:rPr>
              <w:t>"</w:t>
            </w:r>
            <w:proofErr w:type="gramEnd"/>
            <w:r>
              <w:rPr>
                <w:b/>
                <w:bCs/>
                <w:i/>
                <w:iCs/>
                <w:color w:val="1A1A1A"/>
              </w:rPr>
              <w:t>Minha obra é pequena. Não justifica uma assessoria."</w:t>
            </w:r>
          </w:p>
        </w:tc>
      </w:tr>
      <w:tr w:rsidR="00774E69" w14:paraId="05D82A80" w14:textId="77777777">
        <w:tblPrEx>
          <w:tblCellMar>
            <w:top w:w="0" w:type="dxa"/>
            <w:bottom w:w="0" w:type="dxa"/>
          </w:tblCellMar>
        </w:tblPrEx>
        <w:tc>
          <w:tcPr>
            <w:tcW w:w="9360" w:type="dxa"/>
            <w:tcBorders>
              <w:top w:val="none" w:sz="0" w:space="0" w:color="FFFFFF"/>
              <w:left w:val="single" w:sz="12" w:space="0" w:color="9333EA"/>
              <w:bottom w:val="none" w:sz="0" w:space="0" w:color="FFFFFF"/>
              <w:right w:val="none" w:sz="0" w:space="0" w:color="FFFFFF"/>
            </w:tcBorders>
            <w:shd w:val="clear" w:color="auto" w:fill="FFFFFF"/>
            <w:tcMar>
              <w:top w:w="180" w:type="dxa"/>
              <w:left w:w="280" w:type="dxa"/>
              <w:bottom w:w="180" w:type="dxa"/>
              <w:right w:w="240" w:type="dxa"/>
            </w:tcMar>
          </w:tcPr>
          <w:p w14:paraId="394ACE46" w14:textId="77777777" w:rsidR="00774E69" w:rsidRDefault="00246CAE">
            <w:pPr>
              <w:spacing w:after="100"/>
            </w:pPr>
            <w:r>
              <w:rPr>
                <w:color w:val="444444"/>
              </w:rPr>
              <w:t>Obras pequenas têm margem ainda mais estreita para erro. Um atraso de 30 dias ou uma compra emergencial pode comprometer o resultado inteiro. E é justamente nesse porte que a metodologia tem mais impacto — porque a estrutura de gestão ainda não existe, e c</w:t>
            </w:r>
            <w:r>
              <w:rPr>
                <w:color w:val="444444"/>
              </w:rPr>
              <w:t>riá-la agora prepara a empresa para crescer sem depender do dono em cada decisão.</w:t>
            </w:r>
          </w:p>
        </w:tc>
      </w:tr>
      <w:tr w:rsidR="00774E69" w14:paraId="3549BB19"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50E32686" w14:textId="77777777" w:rsidR="00774E69" w:rsidRDefault="00246CAE">
            <w:r>
              <w:rPr>
                <w:b/>
                <w:bCs/>
                <w:color w:val="D97706"/>
                <w:sz w:val="19"/>
                <w:szCs w:val="19"/>
              </w:rPr>
              <w:lastRenderedPageBreak/>
              <w:t>✏</w:t>
            </w:r>
            <w:r>
              <w:rPr>
                <w:b/>
                <w:bCs/>
                <w:color w:val="D97706"/>
                <w:sz w:val="19"/>
                <w:szCs w:val="19"/>
              </w:rPr>
              <w:t xml:space="preserve"> ANOTAÇÕES: </w:t>
            </w:r>
            <w:r>
              <w:rPr>
                <w:i/>
                <w:iCs/>
                <w:color w:val="92400E"/>
                <w:sz w:val="19"/>
                <w:szCs w:val="19"/>
              </w:rPr>
              <w:t>[Espaço para anotações: citar ticket médio de entrada para esse perfil se quiser já ancorar preço]</w:t>
            </w:r>
          </w:p>
        </w:tc>
      </w:tr>
    </w:tbl>
    <w:p w14:paraId="689B6E71"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5ADADE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2DE8E661" w14:textId="77777777" w:rsidR="00774E69" w:rsidRDefault="00246CAE">
            <w:proofErr w:type="gramStart"/>
            <w:r>
              <w:rPr>
                <w:b/>
                <w:bCs/>
                <w:color w:val="9333EA"/>
              </w:rPr>
              <w:t xml:space="preserve">4.2  </w:t>
            </w:r>
            <w:r>
              <w:rPr>
                <w:b/>
                <w:bCs/>
                <w:i/>
                <w:iCs/>
                <w:color w:val="1A1A1A"/>
              </w:rPr>
              <w:t>"</w:t>
            </w:r>
            <w:proofErr w:type="gramEnd"/>
            <w:r>
              <w:rPr>
                <w:b/>
                <w:bCs/>
                <w:i/>
                <w:iCs/>
                <w:color w:val="1A1A1A"/>
              </w:rPr>
              <w:t>Trabalho com obras públicas. Minha realidade é diferente."</w:t>
            </w:r>
          </w:p>
        </w:tc>
      </w:tr>
      <w:tr w:rsidR="00774E69" w14:paraId="60E030E9" w14:textId="77777777">
        <w:tblPrEx>
          <w:tblCellMar>
            <w:top w:w="0" w:type="dxa"/>
            <w:bottom w:w="0" w:type="dxa"/>
          </w:tblCellMar>
        </w:tblPrEx>
        <w:tc>
          <w:tcPr>
            <w:tcW w:w="9360" w:type="dxa"/>
            <w:tcBorders>
              <w:top w:val="none" w:sz="0" w:space="0" w:color="FFFFFF"/>
              <w:left w:val="single" w:sz="12" w:space="0" w:color="9333EA"/>
              <w:bottom w:val="none" w:sz="0" w:space="0" w:color="FFFFFF"/>
              <w:right w:val="none" w:sz="0" w:space="0" w:color="FFFFFF"/>
            </w:tcBorders>
            <w:shd w:val="clear" w:color="auto" w:fill="FFFFFF"/>
            <w:tcMar>
              <w:top w:w="180" w:type="dxa"/>
              <w:left w:w="280" w:type="dxa"/>
              <w:bottom w:w="180" w:type="dxa"/>
              <w:right w:w="240" w:type="dxa"/>
            </w:tcMar>
          </w:tcPr>
          <w:p w14:paraId="1990BE46" w14:textId="77777777" w:rsidR="00774E69" w:rsidRDefault="00246CAE">
            <w:pPr>
              <w:spacing w:after="100"/>
            </w:pPr>
            <w:r>
              <w:rPr>
                <w:color w:val="444444"/>
              </w:rPr>
              <w:t>Muito pelo contrário — obras públicas exigem controle ainda mais rigoroso: medição auditada, cronograma físico-financeiro alinhado ao contrato, conformidade fiscal e fluxo de caixa previsível para evitar problemas com órgãos fiscalizadores. Temos experiênc</w:t>
            </w:r>
            <w:r>
              <w:rPr>
                <w:color w:val="444444"/>
              </w:rPr>
              <w:t>ia específica nesse segmento e um método adaptado para esse nível de exigência.</w:t>
            </w:r>
          </w:p>
        </w:tc>
      </w:tr>
      <w:tr w:rsidR="00774E69" w14:paraId="777FD9C6"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13C13E4D"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listar órgãos ou tipos de contrato (federal, estadual, municipal) se quiser especificar]</w:t>
            </w:r>
          </w:p>
        </w:tc>
      </w:tr>
    </w:tbl>
    <w:p w14:paraId="7ED27DE8"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4EFC41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6C352C95" w14:textId="77777777" w:rsidR="00774E69" w:rsidRDefault="00246CAE">
            <w:proofErr w:type="gramStart"/>
            <w:r>
              <w:rPr>
                <w:b/>
                <w:bCs/>
                <w:color w:val="9333EA"/>
              </w:rPr>
              <w:t xml:space="preserve">4.3  </w:t>
            </w:r>
            <w:r>
              <w:rPr>
                <w:b/>
                <w:bCs/>
                <w:i/>
                <w:iCs/>
                <w:color w:val="1A1A1A"/>
              </w:rPr>
              <w:t>"</w:t>
            </w:r>
            <w:proofErr w:type="gramEnd"/>
            <w:r>
              <w:rPr>
                <w:b/>
                <w:bCs/>
                <w:i/>
                <w:iCs/>
                <w:color w:val="1A1A1A"/>
              </w:rPr>
              <w:t>Meu sócio precisa participar da decisão e não está disponível."</w:t>
            </w:r>
          </w:p>
        </w:tc>
      </w:tr>
      <w:tr w:rsidR="00774E69" w14:paraId="12A9865A" w14:textId="77777777">
        <w:tblPrEx>
          <w:tblCellMar>
            <w:top w:w="0" w:type="dxa"/>
            <w:bottom w:w="0" w:type="dxa"/>
          </w:tblCellMar>
        </w:tblPrEx>
        <w:tc>
          <w:tcPr>
            <w:tcW w:w="9360" w:type="dxa"/>
            <w:tcBorders>
              <w:top w:val="none" w:sz="0" w:space="0" w:color="FFFFFF"/>
              <w:left w:val="single" w:sz="12" w:space="0" w:color="9333EA"/>
              <w:bottom w:val="none" w:sz="0" w:space="0" w:color="FFFFFF"/>
              <w:right w:val="none" w:sz="0" w:space="0" w:color="FFFFFF"/>
            </w:tcBorders>
            <w:shd w:val="clear" w:color="auto" w:fill="FFFFFF"/>
            <w:tcMar>
              <w:top w:w="180" w:type="dxa"/>
              <w:left w:w="280" w:type="dxa"/>
              <w:bottom w:w="180" w:type="dxa"/>
              <w:right w:w="240" w:type="dxa"/>
            </w:tcMar>
          </w:tcPr>
          <w:p w14:paraId="3E63B87E" w14:textId="26DFE83B" w:rsidR="00774E69" w:rsidRDefault="00246CAE">
            <w:pPr>
              <w:spacing w:after="100"/>
            </w:pPr>
            <w:r>
              <w:rPr>
                <w:color w:val="444444"/>
              </w:rPr>
              <w:t xml:space="preserve">Faz todo sentido — é uma decisão importante. Por isso precisamos fazer esse momento </w:t>
            </w:r>
            <w:r>
              <w:rPr>
                <w:color w:val="444444"/>
              </w:rPr>
              <w:t>com os dois presentes. O diagnóstico inicial é justamente para isso: mostrar com dados da sua própria ope</w:t>
            </w:r>
            <w:r>
              <w:rPr>
                <w:color w:val="444444"/>
              </w:rPr>
              <w:t>ração o que está em jogo.</w:t>
            </w:r>
          </w:p>
        </w:tc>
      </w:tr>
      <w:tr w:rsidR="00774E69" w14:paraId="23682580"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0C93F69A"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o franqueado pode usar isso para qualificar se é ou não o decisor antes de investir mais tempo]</w:t>
            </w:r>
          </w:p>
        </w:tc>
      </w:tr>
    </w:tbl>
    <w:p w14:paraId="6D7351C6" w14:textId="77777777" w:rsidR="00774E69" w:rsidRDefault="00774E69">
      <w:pPr>
        <w:spacing w:line="2000" w:lineRule="auto"/>
      </w:pPr>
    </w:p>
    <w:p w14:paraId="7C15148F" w14:textId="77777777" w:rsidR="00774E69" w:rsidRDefault="00246CAE">
      <w:pPr>
        <w:spacing w:before="480" w:after="160"/>
      </w:pPr>
      <w:r>
        <w:rPr>
          <w:b/>
          <w:bCs/>
          <w:color w:val="FFFFFF"/>
          <w:sz w:val="24"/>
          <w:szCs w:val="24"/>
          <w:shd w:val="clear" w:color="auto" w:fill="DC2626"/>
        </w:rPr>
        <w:lastRenderedPageBreak/>
        <w:t xml:space="preserve">  5. TEMPO E MOMENTO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798FE7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4FC2A710" w14:textId="77777777" w:rsidR="00774E69" w:rsidRDefault="00246CAE">
            <w:proofErr w:type="gramStart"/>
            <w:r>
              <w:rPr>
                <w:b/>
                <w:bCs/>
                <w:color w:val="DC2626"/>
              </w:rPr>
              <w:t xml:space="preserve">5.1  </w:t>
            </w:r>
            <w:r>
              <w:rPr>
                <w:b/>
                <w:bCs/>
                <w:i/>
                <w:iCs/>
                <w:color w:val="1A1A1A"/>
              </w:rPr>
              <w:t>"</w:t>
            </w:r>
            <w:proofErr w:type="gramEnd"/>
            <w:r>
              <w:rPr>
                <w:b/>
                <w:bCs/>
                <w:i/>
                <w:iCs/>
                <w:color w:val="1A1A1A"/>
              </w:rPr>
              <w:t>Não tenho tempo para implementar nada agora."</w:t>
            </w:r>
          </w:p>
        </w:tc>
      </w:tr>
      <w:tr w:rsidR="00774E69" w14:paraId="30763A65" w14:textId="77777777">
        <w:tblPrEx>
          <w:tblCellMar>
            <w:top w:w="0" w:type="dxa"/>
            <w:bottom w:w="0" w:type="dxa"/>
          </w:tblCellMar>
        </w:tblPrEx>
        <w:tc>
          <w:tcPr>
            <w:tcW w:w="9360" w:type="dxa"/>
            <w:tcBorders>
              <w:top w:val="none" w:sz="0" w:space="0" w:color="FFFFFF"/>
              <w:left w:val="single" w:sz="12" w:space="0" w:color="DC2626"/>
              <w:bottom w:val="none" w:sz="0" w:space="0" w:color="FFFFFF"/>
              <w:right w:val="none" w:sz="0" w:space="0" w:color="FFFFFF"/>
            </w:tcBorders>
            <w:shd w:val="clear" w:color="auto" w:fill="FFFFFF"/>
            <w:tcMar>
              <w:top w:w="180" w:type="dxa"/>
              <w:left w:w="280" w:type="dxa"/>
              <w:bottom w:w="180" w:type="dxa"/>
              <w:right w:w="240" w:type="dxa"/>
            </w:tcMar>
          </w:tcPr>
          <w:p w14:paraId="209FE08D" w14:textId="77777777" w:rsidR="00774E69" w:rsidRDefault="00246CAE">
            <w:pPr>
              <w:spacing w:after="100"/>
            </w:pPr>
            <w:r>
              <w:rPr>
                <w:color w:val="444444"/>
              </w:rPr>
              <w:t>A assessoria não cria mais trabalho para você — ela organiza o trabalho que já existe. Nas primeiras semanas, nossa equipe fica responsável por estruturar os processos, treinar a equipe e alimentar o sistema. Você entra para validar e decidir — não para ex</w:t>
            </w:r>
            <w:r>
              <w:rPr>
                <w:color w:val="444444"/>
              </w:rPr>
              <w:t>ecutar mais uma tarefa.</w:t>
            </w:r>
          </w:p>
        </w:tc>
      </w:tr>
      <w:tr w:rsidR="00774E69" w14:paraId="3500841C"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42AAFEDF"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 xml:space="preserve">[Espaço para anotações: descrever os primeiros 30 dias de </w:t>
            </w:r>
            <w:proofErr w:type="spellStart"/>
            <w:r>
              <w:rPr>
                <w:i/>
                <w:iCs/>
                <w:color w:val="92400E"/>
                <w:sz w:val="19"/>
                <w:szCs w:val="19"/>
              </w:rPr>
              <w:t>onboarding</w:t>
            </w:r>
            <w:proofErr w:type="spellEnd"/>
            <w:r>
              <w:rPr>
                <w:i/>
                <w:iCs/>
                <w:color w:val="92400E"/>
                <w:sz w:val="19"/>
                <w:szCs w:val="19"/>
              </w:rPr>
              <w:t xml:space="preserve"> pode ajudar a desmistificar o esforço]</w:t>
            </w:r>
          </w:p>
        </w:tc>
      </w:tr>
    </w:tbl>
    <w:p w14:paraId="6FD8EA81"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4C840F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6FA949E0" w14:textId="77777777" w:rsidR="00774E69" w:rsidRDefault="00246CAE">
            <w:proofErr w:type="gramStart"/>
            <w:r>
              <w:rPr>
                <w:b/>
                <w:bCs/>
                <w:color w:val="DC2626"/>
              </w:rPr>
              <w:t xml:space="preserve">5.2  </w:t>
            </w:r>
            <w:r>
              <w:rPr>
                <w:b/>
                <w:bCs/>
                <w:i/>
                <w:iCs/>
                <w:color w:val="1A1A1A"/>
              </w:rPr>
              <w:t>"</w:t>
            </w:r>
            <w:proofErr w:type="gramEnd"/>
            <w:r>
              <w:rPr>
                <w:b/>
                <w:bCs/>
                <w:i/>
                <w:iCs/>
                <w:color w:val="1A1A1A"/>
              </w:rPr>
              <w:t>Vou pensar e retorno depois."</w:t>
            </w:r>
          </w:p>
        </w:tc>
      </w:tr>
      <w:tr w:rsidR="00774E69" w14:paraId="09565D03" w14:textId="77777777">
        <w:tblPrEx>
          <w:tblCellMar>
            <w:top w:w="0" w:type="dxa"/>
            <w:bottom w:w="0" w:type="dxa"/>
          </w:tblCellMar>
        </w:tblPrEx>
        <w:tc>
          <w:tcPr>
            <w:tcW w:w="9360" w:type="dxa"/>
            <w:tcBorders>
              <w:top w:val="none" w:sz="0" w:space="0" w:color="FFFFFF"/>
              <w:left w:val="single" w:sz="12" w:space="0" w:color="DC2626"/>
              <w:bottom w:val="none" w:sz="0" w:space="0" w:color="FFFFFF"/>
              <w:right w:val="none" w:sz="0" w:space="0" w:color="FFFFFF"/>
            </w:tcBorders>
            <w:shd w:val="clear" w:color="auto" w:fill="FFFFFF"/>
            <w:tcMar>
              <w:top w:w="180" w:type="dxa"/>
              <w:left w:w="280" w:type="dxa"/>
              <w:bottom w:w="180" w:type="dxa"/>
              <w:right w:w="240" w:type="dxa"/>
            </w:tcMar>
          </w:tcPr>
          <w:p w14:paraId="015A896A" w14:textId="77777777" w:rsidR="00774E69" w:rsidRDefault="00246CAE">
            <w:pPr>
              <w:spacing w:after="100"/>
            </w:pPr>
            <w:r>
              <w:rPr>
                <w:color w:val="444444"/>
              </w:rPr>
              <w:t>Com prazer. Mas vale um ponto: o que vai mudar na sua operação enquanto você pensa? Se o problema que identificamos na sessão estratégica continuar sem solução, ele vai custar mais na próxima semana do que hoje. Posso deixar um diagnóstico por escrito para</w:t>
            </w:r>
            <w:r>
              <w:rPr>
                <w:color w:val="444444"/>
              </w:rPr>
              <w:t xml:space="preserve"> facilitar sua decisão — sem compromisso.</w:t>
            </w:r>
          </w:p>
        </w:tc>
      </w:tr>
      <w:tr w:rsidR="00774E69" w14:paraId="5B3F3F48" w14:textId="77777777">
        <w:tblPrEx>
          <w:tblCellMar>
            <w:top w:w="0" w:type="dxa"/>
            <w:bottom w:w="0" w:type="dxa"/>
          </w:tblCellMar>
        </w:tblPrEx>
        <w:tc>
          <w:tcPr>
            <w:tcW w:w="9360" w:type="dxa"/>
            <w:tcBorders>
              <w:top w:val="none" w:sz="0" w:space="0" w:color="FFFFFF"/>
              <w:left w:val="none" w:sz="0" w:space="0" w:color="FFFFFF"/>
              <w:bottom w:val="dashed" w:sz="4" w:space="0" w:color="CCCCCC"/>
              <w:right w:val="none" w:sz="0" w:space="0" w:color="FFFFFF"/>
            </w:tcBorders>
            <w:shd w:val="clear" w:color="auto" w:fill="FFFBEB"/>
            <w:tcMar>
              <w:top w:w="140" w:type="dxa"/>
              <w:left w:w="240" w:type="dxa"/>
              <w:bottom w:w="140" w:type="dxa"/>
              <w:right w:w="240" w:type="dxa"/>
            </w:tcMar>
          </w:tcPr>
          <w:p w14:paraId="513AE3BA" w14:textId="77777777" w:rsidR="00774E69" w:rsidRDefault="00246CAE">
            <w:r>
              <w:rPr>
                <w:b/>
                <w:bCs/>
                <w:color w:val="D97706"/>
                <w:sz w:val="19"/>
                <w:szCs w:val="19"/>
              </w:rPr>
              <w:t>✏</w:t>
            </w:r>
            <w:r>
              <w:rPr>
                <w:b/>
                <w:bCs/>
                <w:color w:val="D97706"/>
                <w:sz w:val="19"/>
                <w:szCs w:val="19"/>
              </w:rPr>
              <w:t xml:space="preserve"> ANOTAÇÕES: </w:t>
            </w:r>
            <w:r>
              <w:rPr>
                <w:i/>
                <w:iCs/>
                <w:color w:val="92400E"/>
                <w:sz w:val="19"/>
                <w:szCs w:val="19"/>
              </w:rPr>
              <w:t>[Espaço para anotações: usar como gatilho de urgência com dado específico identificado na pauta]</w:t>
            </w:r>
          </w:p>
        </w:tc>
      </w:tr>
    </w:tbl>
    <w:p w14:paraId="246B941C" w14:textId="77777777" w:rsidR="00774E69" w:rsidRDefault="00774E69">
      <w:pPr>
        <w:spacing w:line="20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4E69" w14:paraId="664F30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BF1FA"/>
            <w:tcMar>
              <w:top w:w="180" w:type="dxa"/>
              <w:left w:w="240" w:type="dxa"/>
              <w:bottom w:w="180" w:type="dxa"/>
              <w:right w:w="240" w:type="dxa"/>
            </w:tcMar>
          </w:tcPr>
          <w:p w14:paraId="4E1DBFAD" w14:textId="77777777" w:rsidR="00774E69" w:rsidRDefault="00246CAE">
            <w:proofErr w:type="gramStart"/>
            <w:r>
              <w:rPr>
                <w:b/>
                <w:bCs/>
                <w:color w:val="DC2626"/>
              </w:rPr>
              <w:t xml:space="preserve">5.3  </w:t>
            </w:r>
            <w:r>
              <w:rPr>
                <w:b/>
                <w:bCs/>
                <w:i/>
                <w:iCs/>
                <w:color w:val="1A1A1A"/>
              </w:rPr>
              <w:t>"</w:t>
            </w:r>
            <w:proofErr w:type="gramEnd"/>
            <w:r>
              <w:rPr>
                <w:b/>
                <w:bCs/>
                <w:i/>
                <w:iCs/>
                <w:color w:val="1A1A1A"/>
              </w:rPr>
              <w:t>Agora não é o momento. Talvez no próximo trimestre."</w:t>
            </w:r>
          </w:p>
        </w:tc>
      </w:tr>
      <w:tr w:rsidR="00774E69" w14:paraId="6EC15774" w14:textId="77777777">
        <w:tblPrEx>
          <w:tblCellMar>
            <w:top w:w="0" w:type="dxa"/>
            <w:bottom w:w="0" w:type="dxa"/>
          </w:tblCellMar>
        </w:tblPrEx>
        <w:tc>
          <w:tcPr>
            <w:tcW w:w="9360" w:type="dxa"/>
            <w:tcBorders>
              <w:top w:val="none" w:sz="0" w:space="0" w:color="FFFFFF"/>
              <w:left w:val="single" w:sz="12" w:space="0" w:color="DC2626"/>
              <w:bottom w:val="none" w:sz="0" w:space="0" w:color="FFFFFF"/>
              <w:right w:val="none" w:sz="0" w:space="0" w:color="FFFFFF"/>
            </w:tcBorders>
            <w:shd w:val="clear" w:color="auto" w:fill="FFFFFF"/>
            <w:tcMar>
              <w:top w:w="180" w:type="dxa"/>
              <w:left w:w="280" w:type="dxa"/>
              <w:bottom w:w="180" w:type="dxa"/>
              <w:right w:w="240" w:type="dxa"/>
            </w:tcMar>
          </w:tcPr>
          <w:p w14:paraId="0715EA12" w14:textId="77777777" w:rsidR="00774E69" w:rsidRDefault="00246CAE">
            <w:pPr>
              <w:spacing w:after="100"/>
            </w:pPr>
            <w:r>
              <w:rPr>
                <w:color w:val="444444"/>
              </w:rPr>
              <w:t>Entendemos. Mas o melhor momento para implementar gestão é quando a obra ainda tem fôlego — não quando já está no limite. Podemos mapear juntos o que muda no seu cenário até lá e, se fizer sentido, agendar o começo para uma data que funcione para você.</w:t>
            </w:r>
          </w:p>
        </w:tc>
      </w:tr>
    </w:tbl>
    <w:p w14:paraId="2BA506BD" w14:textId="77777777" w:rsidR="00774E69" w:rsidRDefault="00774E69">
      <w:pPr>
        <w:spacing w:line="2000" w:lineRule="auto"/>
      </w:pPr>
    </w:p>
    <w:p w14:paraId="7500534E" w14:textId="77777777" w:rsidR="00774E69" w:rsidRDefault="00774E69">
      <w:pPr>
        <w:spacing w:line="4000" w:lineRule="auto"/>
      </w:pPr>
    </w:p>
    <w:p w14:paraId="546546E4" w14:textId="122C33F5" w:rsidR="00774E69" w:rsidRDefault="00774E69" w:rsidP="00246CAE">
      <w:pPr>
        <w:pStyle w:val="PargrafodaLista"/>
        <w:spacing w:after="80"/>
        <w:ind w:left="540"/>
      </w:pPr>
    </w:p>
    <w:sectPr w:rsidR="00774E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762FB"/>
    <w:multiLevelType w:val="hybridMultilevel"/>
    <w:tmpl w:val="FF8E7BE8"/>
    <w:lvl w:ilvl="0" w:tplc="E73ECB88">
      <w:start w:val="1"/>
      <w:numFmt w:val="decimal"/>
      <w:lvlText w:val="%1."/>
      <w:lvlJc w:val="left"/>
      <w:pPr>
        <w:ind w:left="540" w:hanging="260"/>
      </w:pPr>
    </w:lvl>
    <w:lvl w:ilvl="1" w:tplc="B846D5F0">
      <w:numFmt w:val="decimal"/>
      <w:lvlText w:val=""/>
      <w:lvlJc w:val="left"/>
    </w:lvl>
    <w:lvl w:ilvl="2" w:tplc="1AF46DFE">
      <w:numFmt w:val="decimal"/>
      <w:lvlText w:val=""/>
      <w:lvlJc w:val="left"/>
    </w:lvl>
    <w:lvl w:ilvl="3" w:tplc="0EE82FCC">
      <w:numFmt w:val="decimal"/>
      <w:lvlText w:val=""/>
      <w:lvlJc w:val="left"/>
    </w:lvl>
    <w:lvl w:ilvl="4" w:tplc="1A8CECAC">
      <w:numFmt w:val="decimal"/>
      <w:lvlText w:val=""/>
      <w:lvlJc w:val="left"/>
    </w:lvl>
    <w:lvl w:ilvl="5" w:tplc="005C4AE4">
      <w:numFmt w:val="decimal"/>
      <w:lvlText w:val=""/>
      <w:lvlJc w:val="left"/>
    </w:lvl>
    <w:lvl w:ilvl="6" w:tplc="6EECAC14">
      <w:numFmt w:val="decimal"/>
      <w:lvlText w:val=""/>
      <w:lvlJc w:val="left"/>
    </w:lvl>
    <w:lvl w:ilvl="7" w:tplc="F9CA4C40">
      <w:numFmt w:val="decimal"/>
      <w:lvlText w:val=""/>
      <w:lvlJc w:val="left"/>
    </w:lvl>
    <w:lvl w:ilvl="8" w:tplc="8BA25FC0">
      <w:numFmt w:val="decimal"/>
      <w:lvlText w:val=""/>
      <w:lvlJc w:val="left"/>
    </w:lvl>
  </w:abstractNum>
  <w:abstractNum w:abstractNumId="1" w15:restartNumberingAfterBreak="0">
    <w:nsid w:val="461010E2"/>
    <w:multiLevelType w:val="hybridMultilevel"/>
    <w:tmpl w:val="BD666776"/>
    <w:lvl w:ilvl="0" w:tplc="7DE2ED94">
      <w:start w:val="1"/>
      <w:numFmt w:val="decimal"/>
      <w:lvlText w:val="%1."/>
      <w:lvlJc w:val="left"/>
      <w:pPr>
        <w:ind w:left="540" w:hanging="260"/>
      </w:pPr>
    </w:lvl>
    <w:lvl w:ilvl="1" w:tplc="D5E2D688">
      <w:numFmt w:val="decimal"/>
      <w:lvlText w:val=""/>
      <w:lvlJc w:val="left"/>
    </w:lvl>
    <w:lvl w:ilvl="2" w:tplc="9D14B588">
      <w:numFmt w:val="decimal"/>
      <w:lvlText w:val=""/>
      <w:lvlJc w:val="left"/>
    </w:lvl>
    <w:lvl w:ilvl="3" w:tplc="D26E5CFE">
      <w:numFmt w:val="decimal"/>
      <w:lvlText w:val=""/>
      <w:lvlJc w:val="left"/>
    </w:lvl>
    <w:lvl w:ilvl="4" w:tplc="0C78D3AC">
      <w:numFmt w:val="decimal"/>
      <w:lvlText w:val=""/>
      <w:lvlJc w:val="left"/>
    </w:lvl>
    <w:lvl w:ilvl="5" w:tplc="0262B222">
      <w:numFmt w:val="decimal"/>
      <w:lvlText w:val=""/>
      <w:lvlJc w:val="left"/>
    </w:lvl>
    <w:lvl w:ilvl="6" w:tplc="4C8A9AF4">
      <w:numFmt w:val="decimal"/>
      <w:lvlText w:val=""/>
      <w:lvlJc w:val="left"/>
    </w:lvl>
    <w:lvl w:ilvl="7" w:tplc="08D41F20">
      <w:numFmt w:val="decimal"/>
      <w:lvlText w:val=""/>
      <w:lvlJc w:val="left"/>
    </w:lvl>
    <w:lvl w:ilvl="8" w:tplc="97F4EE1C">
      <w:numFmt w:val="decimal"/>
      <w:lvlText w:val=""/>
      <w:lvlJc w:val="left"/>
    </w:lvl>
  </w:abstractNum>
  <w:abstractNum w:abstractNumId="2" w15:restartNumberingAfterBreak="0">
    <w:nsid w:val="55705F02"/>
    <w:multiLevelType w:val="hybridMultilevel"/>
    <w:tmpl w:val="39E46F16"/>
    <w:lvl w:ilvl="0" w:tplc="1A163764">
      <w:start w:val="1"/>
      <w:numFmt w:val="bullet"/>
      <w:lvlText w:val="●"/>
      <w:lvlJc w:val="left"/>
      <w:pPr>
        <w:ind w:left="720" w:hanging="360"/>
      </w:pPr>
    </w:lvl>
    <w:lvl w:ilvl="1" w:tplc="6D6E9D7C">
      <w:start w:val="1"/>
      <w:numFmt w:val="bullet"/>
      <w:lvlText w:val="○"/>
      <w:lvlJc w:val="left"/>
      <w:pPr>
        <w:ind w:left="1440" w:hanging="360"/>
      </w:pPr>
    </w:lvl>
    <w:lvl w:ilvl="2" w:tplc="2CC27DA6">
      <w:start w:val="1"/>
      <w:numFmt w:val="bullet"/>
      <w:lvlText w:val="■"/>
      <w:lvlJc w:val="left"/>
      <w:pPr>
        <w:ind w:left="2160" w:hanging="360"/>
      </w:pPr>
    </w:lvl>
    <w:lvl w:ilvl="3" w:tplc="ACACDE22">
      <w:start w:val="1"/>
      <w:numFmt w:val="bullet"/>
      <w:lvlText w:val="●"/>
      <w:lvlJc w:val="left"/>
      <w:pPr>
        <w:ind w:left="2880" w:hanging="360"/>
      </w:pPr>
    </w:lvl>
    <w:lvl w:ilvl="4" w:tplc="4D900FD6">
      <w:start w:val="1"/>
      <w:numFmt w:val="bullet"/>
      <w:lvlText w:val="○"/>
      <w:lvlJc w:val="left"/>
      <w:pPr>
        <w:ind w:left="3600" w:hanging="360"/>
      </w:pPr>
    </w:lvl>
    <w:lvl w:ilvl="5" w:tplc="C986A3E4">
      <w:start w:val="1"/>
      <w:numFmt w:val="bullet"/>
      <w:lvlText w:val="■"/>
      <w:lvlJc w:val="left"/>
      <w:pPr>
        <w:ind w:left="4320" w:hanging="360"/>
      </w:pPr>
    </w:lvl>
    <w:lvl w:ilvl="6" w:tplc="CDAAA2B6">
      <w:start w:val="1"/>
      <w:numFmt w:val="bullet"/>
      <w:lvlText w:val="●"/>
      <w:lvlJc w:val="left"/>
      <w:pPr>
        <w:ind w:left="5040" w:hanging="360"/>
      </w:pPr>
    </w:lvl>
    <w:lvl w:ilvl="7" w:tplc="BDDAD1D6">
      <w:start w:val="1"/>
      <w:numFmt w:val="bullet"/>
      <w:lvlText w:val="●"/>
      <w:lvlJc w:val="left"/>
      <w:pPr>
        <w:ind w:left="5760" w:hanging="360"/>
      </w:pPr>
    </w:lvl>
    <w:lvl w:ilvl="8" w:tplc="989E75F6">
      <w:start w:val="1"/>
      <w:numFmt w:val="bullet"/>
      <w:lvlText w:val="●"/>
      <w:lvlJc w:val="left"/>
      <w:pPr>
        <w:ind w:left="6480" w:hanging="360"/>
      </w:pPr>
    </w:lvl>
  </w:abstractNum>
  <w:abstractNum w:abstractNumId="3" w15:restartNumberingAfterBreak="0">
    <w:nsid w:val="7AD17D64"/>
    <w:multiLevelType w:val="hybridMultilevel"/>
    <w:tmpl w:val="852A19D0"/>
    <w:lvl w:ilvl="0" w:tplc="A3B4AB42">
      <w:start w:val="1"/>
      <w:numFmt w:val="bullet"/>
      <w:lvlText w:val="•"/>
      <w:lvlJc w:val="left"/>
      <w:pPr>
        <w:ind w:left="540" w:hanging="260"/>
      </w:pPr>
    </w:lvl>
    <w:lvl w:ilvl="1" w:tplc="B21EDFD0">
      <w:numFmt w:val="decimal"/>
      <w:lvlText w:val=""/>
      <w:lvlJc w:val="left"/>
    </w:lvl>
    <w:lvl w:ilvl="2" w:tplc="D752138C">
      <w:numFmt w:val="decimal"/>
      <w:lvlText w:val=""/>
      <w:lvlJc w:val="left"/>
    </w:lvl>
    <w:lvl w:ilvl="3" w:tplc="4368652C">
      <w:numFmt w:val="decimal"/>
      <w:lvlText w:val=""/>
      <w:lvlJc w:val="left"/>
    </w:lvl>
    <w:lvl w:ilvl="4" w:tplc="C12EB8BE">
      <w:numFmt w:val="decimal"/>
      <w:lvlText w:val=""/>
      <w:lvlJc w:val="left"/>
    </w:lvl>
    <w:lvl w:ilvl="5" w:tplc="FD6CAC62">
      <w:numFmt w:val="decimal"/>
      <w:lvlText w:val=""/>
      <w:lvlJc w:val="left"/>
    </w:lvl>
    <w:lvl w:ilvl="6" w:tplc="AC9454A8">
      <w:numFmt w:val="decimal"/>
      <w:lvlText w:val=""/>
      <w:lvlJc w:val="left"/>
    </w:lvl>
    <w:lvl w:ilvl="7" w:tplc="376A3C1A">
      <w:numFmt w:val="decimal"/>
      <w:lvlText w:val=""/>
      <w:lvlJc w:val="left"/>
    </w:lvl>
    <w:lvl w:ilvl="8" w:tplc="3DC66830">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E69"/>
    <w:rsid w:val="00246CAE"/>
    <w:rsid w:val="00774E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C71A"/>
  <w15:docId w15:val="{3E084744-0C6B-4E9B-B072-6FA5302A1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1152</Words>
  <Characters>6221</Characters>
  <Application>Microsoft Office Word</Application>
  <DocSecurity>0</DocSecurity>
  <Lines>51</Lines>
  <Paragraphs>14</Paragraphs>
  <ScaleCrop>false</ScaleCrop>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Bernardo Caires</cp:lastModifiedBy>
  <cp:revision>2</cp:revision>
  <dcterms:created xsi:type="dcterms:W3CDTF">2026-04-29T17:34:00Z</dcterms:created>
  <dcterms:modified xsi:type="dcterms:W3CDTF">2026-04-29T17:50:00Z</dcterms:modified>
</cp:coreProperties>
</file>