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cantSplit/>
          <w:trHeight w:val="157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0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70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21"/>
                <w:szCs w:val="21"/>
              </w:rPr>
              <w:t xml:space="preserve"/>
            </w:r>
          </w:p>
          <w:p>
            <w:pPr>
              <w:spacing w:after="500" w:before="0" w:line="276" w:lineRule="auto"/>
              <w:jc w:val="center"/>
            </w:pPr>
            <w:r>
              <w:drawing>
                <wp:inline distT="0" distB="0" distL="0" distR="0">
                  <wp:extent cx="5334000" cy="241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80"/>
                <w:sz w:val="18"/>
                <w:szCs w:val="18"/>
              </w:rPr>
              <w:t xml:space="preserve">CONSULTORÍA · LABORATORIO DE IDEAS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AF8F4"/>
                <w:sz w:val="72"/>
                <w:szCs w:val="72"/>
              </w:rPr>
              <w:t xml:space="preserve">Informe Escrito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AF8F4"/>
                <w:sz w:val="72"/>
                <w:szCs w:val="72"/>
              </w:rPr>
              <w:t xml:space="preserve">de Consultoría</w:t>
            </w:r>
          </w:p>
          <w:p>
            <w:pPr>
              <w:spacing w:after="700" w:before="0" w:line="276" w:lineRule="auto"/>
              <w:jc w:val="center"/>
            </w:pPr>
            <w:r>
              <w:rPr>
                <w:rFonts w:ascii="Calibri" w:cs="Calibri" w:eastAsia="Calibri" w:hAnsi="Calibri"/>
                <w:color w:val="E5D9C3"/>
                <w:sz w:val="32"/>
                <w:szCs w:val="32"/>
              </w:rPr>
              <w:t xml:space="preserve">Diagnóstico Inicial · Punto de Partida</w:t>
            </w:r>
          </w:p>
          <w:p>
            <w:pPr>
              <w:spacing w:after="12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60"/>
                <w:sz w:val="16"/>
                <w:szCs w:val="16"/>
              </w:rPr>
              <w:t xml:space="preserve">EQUIPO CONSULTOR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FAF8F4"/>
                <w:sz w:val="22"/>
                <w:szCs w:val="22"/>
              </w:rPr>
              <w:t xml:space="preserve">Bárbara Villada Valderrama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FAF8F4"/>
                <w:sz w:val="22"/>
                <w:szCs w:val="22"/>
              </w:rPr>
              <w:t xml:space="preserve">Lina Marcela Cataño Fernández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FAF8F4"/>
                <w:sz w:val="22"/>
                <w:szCs w:val="22"/>
              </w:rPr>
              <w:t xml:space="preserve">Diana Marcela Salazar Ramírez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FAF8F4"/>
                <w:sz w:val="22"/>
                <w:szCs w:val="22"/>
              </w:rPr>
              <w:t xml:space="preserve">Yurany Posada Sánchez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FAF8F4"/>
                <w:sz w:val="22"/>
                <w:szCs w:val="22"/>
              </w:rPr>
              <w:t xml:space="preserve">Carolina Flórez Rúa</w:t>
            </w:r>
          </w:p>
          <w:p>
            <w:pPr>
              <w:spacing w:after="70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21"/>
                <w:szCs w:val="21"/>
              </w:rPr>
              <w:t xml:space="preserve"/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BDB3A3"/>
                <w:sz w:val="19"/>
                <w:szCs w:val="19"/>
              </w:rPr>
              <w:t xml:space="preserve">Docente: Santiago Arias Torres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BDB3A3"/>
                <w:sz w:val="19"/>
                <w:szCs w:val="19"/>
              </w:rPr>
              <w:t xml:space="preserve">Módulo Laboratorio de Ideas: Creación de Empresa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BDB3A3"/>
                <w:sz w:val="19"/>
                <w:szCs w:val="19"/>
              </w:rPr>
              <w:t xml:space="preserve">CEIPA · Powered by Arizona State University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color w:val="E5D9C3"/>
                <w:sz w:val="19"/>
                <w:szCs w:val="19"/>
              </w:rPr>
              <w:t xml:space="preserve">Semana 2  ·  Medellín, octubre de 2026</w:t>
            </w:r>
          </w:p>
        </w:tc>
      </w:tr>
    </w:tbl>
    <w:p>
      <w:pPr>
        <w:sectPr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keepNext/>
        <w:spacing w:after="60" w:before="0" w:line="276" w:lineRule="auto"/>
      </w:pPr>
      <w:r>
        <w:rPr>
          <w:rFonts w:ascii="Calibri" w:cs="Calibri" w:eastAsia="Calibri" w:hAnsi="Calibri"/>
          <w:b/>
          <w:bCs/>
          <w:color w:val="9C8A6B"/>
          <w:spacing w:val="40"/>
          <w:sz w:val="16"/>
          <w:szCs w:val="16"/>
        </w:rPr>
        <w:t xml:space="preserve">INFORME ESCRITO DE CONSULTORÍA</w:t>
      </w:r>
    </w:p>
    <w:p>
      <w:pPr>
        <w:keepNext/>
        <w:spacing w:after="80" w:before="240" w:line="276" w:lineRule="auto"/>
      </w:pPr>
      <w:r>
        <w:rPr>
          <w:rFonts w:ascii="Calibri" w:cs="Calibri" w:eastAsia="Calibri" w:hAnsi="Calibri"/>
          <w:b/>
          <w:bCs/>
          <w:color w:val="9C8A6B"/>
          <w:sz w:val="30"/>
          <w:szCs w:val="30"/>
        </w:rPr>
        <w:t xml:space="preserve">00  </w:t>
      </w:r>
      <w:r>
        <w:rPr>
          <w:rFonts w:ascii="Calibri" w:cs="Calibri" w:eastAsia="Calibri" w:hAnsi="Calibri"/>
          <w:b/>
          <w:bCs/>
          <w:color w:val="0F0F0F"/>
          <w:sz w:val="30"/>
          <w:szCs w:val="30"/>
        </w:rPr>
        <w:t xml:space="preserve">Introducción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Este informe presenta el punto de partida de nuestra consultoría a TALENT, emprendimiento de Medellín que presta servicios de recursos humanos, nómina y seguridad y salud en el trabajo (SST). Primero explicamos por qué la escogimos como unidad de análisis y verificamos que cumple el perfil exigido. Luego caracterizamos su modelo de negocio con el Business Model Canvas y una descripción narrativa.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Por último, presentamos el diagnóstico preliminar de debida diligencia que aplicamos con la fundadora, los hallazgos que encontramos, nuestras conclusiones y la ruta de intervención que define qué vamos a trabajar durante las ocho semanas del núcleo y qué queda por fuera.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560"/>
      </w:tblGrid>
      <w:tr>
        <w:trPr>
          <w:cantSplit/>
          <w:tblHeader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N.º</w:t>
            </w:r>
          </w:p>
        </w:tc>
        <w:tc>
          <w:tcPr>
            <w:tcW w:type="dxa" w:w="31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Sección</w:t>
            </w:r>
          </w:p>
        </w:tc>
        <w:tc>
          <w:tcPr>
            <w:tcW w:type="dxa" w:w="55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Qué responde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01</w:t>
            </w:r>
          </w:p>
        </w:tc>
        <w:tc>
          <w:tcPr>
            <w:tcW w:type="dxa" w:w="31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Selección de la unidad de análisis</w:t>
            </w:r>
          </w:p>
        </w:tc>
        <w:tc>
          <w:tcPr>
            <w:tcW w:type="dxa" w:w="55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¿Por qué TALENT y cumple el perfil?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02</w:t>
            </w:r>
          </w:p>
        </w:tc>
        <w:tc>
          <w:tcPr>
            <w:tcW w:type="dxa" w:w="31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Caracterización</w:t>
            </w:r>
          </w:p>
        </w:tc>
        <w:tc>
          <w:tcPr>
            <w:tcW w:type="dxa" w:w="55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¿Cómo funciona su modelo de negocio?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03</w:t>
            </w:r>
          </w:p>
        </w:tc>
        <w:tc>
          <w:tcPr>
            <w:tcW w:type="dxa" w:w="31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Diagnóstico de debida diligencia</w:t>
            </w:r>
          </w:p>
        </w:tc>
        <w:tc>
          <w:tcPr>
            <w:tcW w:type="dxa" w:w="55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¿Qué tiene en regla y qué no?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04</w:t>
            </w:r>
          </w:p>
        </w:tc>
        <w:tc>
          <w:tcPr>
            <w:tcW w:type="dxa" w:w="31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Hallazgos y conclusiones</w:t>
            </w:r>
          </w:p>
        </w:tc>
        <w:tc>
          <w:tcPr>
            <w:tcW w:type="dxa" w:w="55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¿Qué significa lo que encontramos?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05</w:t>
            </w:r>
          </w:p>
        </w:tc>
        <w:tc>
          <w:tcPr>
            <w:tcW w:type="dxa" w:w="31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Ruta de intervención</w:t>
            </w:r>
          </w:p>
        </w:tc>
        <w:tc>
          <w:tcPr>
            <w:tcW w:type="dxa" w:w="55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¿Qué vamos a hacer y qué no?</w:t>
            </w:r>
          </w:p>
        </w:tc>
      </w:tr>
    </w:tbl>
    <w:p>
      <w:r>
        <w:br w:type="page"/>
      </w:r>
    </w:p>
    <w:p>
      <w:pPr>
        <w:keepNext/>
        <w:spacing w:after="60" w:before="0" w:line="276" w:lineRule="auto"/>
      </w:pPr>
      <w:r>
        <w:rPr>
          <w:rFonts w:ascii="Calibri" w:cs="Calibri" w:eastAsia="Calibri" w:hAnsi="Calibri"/>
          <w:b/>
          <w:bCs/>
          <w:color w:val="9C8A6B"/>
          <w:spacing w:val="40"/>
          <w:sz w:val="16"/>
          <w:szCs w:val="16"/>
        </w:rPr>
        <w:t xml:space="preserve">ELEMENTO 5</w:t>
      </w:r>
    </w:p>
    <w:p>
      <w:pPr>
        <w:keepNext/>
        <w:spacing w:after="80" w:before="240" w:line="276" w:lineRule="auto"/>
      </w:pPr>
      <w:r>
        <w:rPr>
          <w:rFonts w:ascii="Calibri" w:cs="Calibri" w:eastAsia="Calibri" w:hAnsi="Calibri"/>
          <w:b/>
          <w:bCs/>
          <w:color w:val="9C8A6B"/>
          <w:sz w:val="30"/>
          <w:szCs w:val="30"/>
        </w:rPr>
        <w:t xml:space="preserve">01  </w:t>
      </w:r>
      <w:r>
        <w:rPr>
          <w:rFonts w:ascii="Calibri" w:cs="Calibri" w:eastAsia="Calibri" w:hAnsi="Calibri"/>
          <w:b/>
          <w:bCs/>
          <w:color w:val="0F0F0F"/>
          <w:sz w:val="30"/>
          <w:szCs w:val="30"/>
        </w:rPr>
        <w:t xml:space="preserve">Selección de la unidad de análisis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Escogimos a TALENT, una consultora de recursos humanos, nómina y SST con base en Medellín y atención en toda Colombia. Su fundadora es Bárbara Villada Valderrama, integrante de nuestro equipo. La escogimos porque ya está operando —tiene página web, redes sociales, portafolio de servicios y está buscando sus primeros clientes— pero todavía no está formalizada.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0F0F" w:sz="18"/>
              <w:left w:val="single" w:color="FFFFFF" w:sz="12"/>
              <w:bottom w:val="none" w:color="FFFFFF" w:sz="0"/>
              <w:right w:val="single" w:color="FFFFFF" w:sz="12"/>
            </w:tcBorders>
            <w:shd w:fill="F6F1E8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NOMBRE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21"/>
                <w:szCs w:val="21"/>
              </w:rPr>
              <w:t xml:space="preserve">TALENT</w:t>
            </w:r>
          </w:p>
        </w:tc>
        <w:tc>
          <w:tcPr>
            <w:tcW w:type="dxa" w:w="2340"/>
            <w:tcBorders>
              <w:top w:val="single" w:color="0F0F0F" w:sz="18"/>
              <w:left w:val="single" w:color="FFFFFF" w:sz="12"/>
              <w:bottom w:val="none" w:color="FFFFFF" w:sz="0"/>
              <w:right w:val="single" w:color="FFFFFF" w:sz="12"/>
            </w:tcBorders>
            <w:shd w:fill="F6F1E8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ACTIVIDAD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21"/>
                <w:szCs w:val="21"/>
              </w:rPr>
              <w:t xml:space="preserve">RRHH · Nómina · SST</w:t>
            </w:r>
          </w:p>
        </w:tc>
        <w:tc>
          <w:tcPr>
            <w:tcW w:type="dxa" w:w="2340"/>
            <w:tcBorders>
              <w:top w:val="single" w:color="0F0F0F" w:sz="18"/>
              <w:left w:val="single" w:color="FFFFFF" w:sz="12"/>
              <w:bottom w:val="none" w:color="FFFFFF" w:sz="0"/>
              <w:right w:val="single" w:color="FFFFFF" w:sz="12"/>
            </w:tcBorders>
            <w:shd w:fill="F6F1E8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UBICACIÓN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21"/>
                <w:szCs w:val="21"/>
              </w:rPr>
              <w:t xml:space="preserve">Medellín · toda Colombia</w:t>
            </w:r>
          </w:p>
        </w:tc>
        <w:tc>
          <w:tcPr>
            <w:tcW w:type="dxa" w:w="2340"/>
            <w:tcBorders>
              <w:top w:val="single" w:color="0F0F0F" w:sz="18"/>
              <w:left w:val="single" w:color="FFFFFF" w:sz="12"/>
              <w:bottom w:val="none" w:color="FFFFFF" w:sz="0"/>
              <w:right w:val="single" w:color="FFFFFF" w:sz="12"/>
            </w:tcBorders>
            <w:shd w:fill="F6F1E8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ESTADO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21"/>
                <w:szCs w:val="21"/>
              </w:rPr>
              <w:t xml:space="preserve">No formalizada</w:t>
            </w:r>
          </w:p>
        </w:tc>
      </w:tr>
    </w:tbl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Verificación del perfil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Antes de comprometernos con el cliente verificamos que TALENT corresponde a un emprendimiento no formalizado, como pide la actividad. Si ya estuviera constituida como sociedad, el diagnóstico de formalización de TA1 quedaría sin objeto.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cantSplit/>
          <w:tblHeader/>
        </w:trPr>
        <w:tc>
          <w:tcPr>
            <w:tcW w:type="dxa" w:w="3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Criterio</w:t>
            </w:r>
          </w:p>
        </w:tc>
        <w:tc>
          <w:tcPr>
            <w:tcW w:type="dxa" w:w="1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¿Cumple?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No está constituida como sociedad</w:t>
            </w:r>
          </w:p>
        </w:tc>
        <w:tc>
          <w:tcPr>
            <w:tcW w:type="dxa" w:w="1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✓  Sí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Consulta en el RUES por nombre y por cédula de la fundadora (pantallazo en anexos)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No tiene matrícula mercantil</w:t>
            </w:r>
          </w:p>
        </w:tc>
        <w:tc>
          <w:tcPr>
            <w:tcW w:type="dxa" w:w="1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✓  Sí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Consulta en el RUES y respuesta de la fundadora en la reunión de diagnóstico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Existe y se puede verificar</w:t>
            </w:r>
          </w:p>
        </w:tc>
        <w:tc>
          <w:tcPr>
            <w:tcW w:type="dxa" w:w="1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✓  Sí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Página web, Instagram @talent.hhrr, TikTok, correo corporativo y portafolio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Tiene actividad económica real</w:t>
            </w:r>
          </w:p>
        </w:tc>
        <w:tc>
          <w:tcPr>
            <w:tcW w:type="dxa" w:w="1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✓  Sí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Portafolio con planes y precios, y correos de prospección enviados a empresas</w:t>
            </w:r>
          </w:p>
        </w:tc>
      </w:tr>
    </w:tbl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Por qué TALENT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2B2926"/>
          <w:sz w:val="21"/>
          <w:szCs w:val="21"/>
        </w:rPr>
        <w:t xml:space="preserve">Necesita formalizarse para vender: </w:t>
      </w:r>
      <w:r>
        <w:rPr>
          <w:rFonts w:ascii="Calibri" w:cs="Calibri" w:eastAsia="Calibri" w:hAnsi="Calibri"/>
          <w:color w:val="2B2926"/>
          <w:sz w:val="21"/>
          <w:szCs w:val="21"/>
        </w:rPr>
        <w:t xml:space="preserve">ya contacta empresas, pero sin matrícula ni facturación electrónica no puede facturarles.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2B2926"/>
          <w:sz w:val="21"/>
          <w:szCs w:val="21"/>
        </w:rPr>
        <w:t xml:space="preserve">Tiene una decisión jurídica abierta: </w:t>
      </w:r>
      <w:r>
        <w:rPr>
          <w:rFonts w:ascii="Calibri" w:cs="Calibri" w:eastAsia="Calibri" w:hAnsi="Calibri"/>
          <w:color w:val="2B2926"/>
          <w:sz w:val="21"/>
          <w:szCs w:val="21"/>
        </w:rPr>
        <w:t xml:space="preserve">la fundadora quiere conseguir inversionistas más adelante, así que elegir entre persona natural y S.A.S. es una decisión importante que la consultoría puede sustentar.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2B2926"/>
          <w:sz w:val="21"/>
          <w:szCs w:val="21"/>
        </w:rPr>
        <w:t xml:space="preserve">Acceso completo a la información: </w:t>
      </w:r>
      <w:r>
        <w:rPr>
          <w:rFonts w:ascii="Calibri" w:cs="Calibri" w:eastAsia="Calibri" w:hAnsi="Calibri"/>
          <w:color w:val="2B2926"/>
          <w:sz w:val="21"/>
          <w:szCs w:val="21"/>
        </w:rPr>
        <w:t xml:space="preserve">la cercanía con la fundadora nos permite trabajar con evidencia de primera mano. Para cuidar la objetividad, ella participa como cliente y no aplica ni califica el instrumento.</w:t>
      </w:r>
    </w:p>
    <w:p>
      <w:pPr>
        <w:spacing w:after="120" w:before="0" w:line="276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0F0F" w:sz="3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6"/>
                <w:szCs w:val="16"/>
              </w:rPr>
              <w:t xml:space="preserve">CONCLUSIÓN DE LA VERIFICACIÓN</w:t>
            </w:r>
          </w:p>
          <w:p>
            <w:pPr>
              <w:spacing w:after="0" w:before="0" w:line="288" w:lineRule="auto"/>
            </w:pPr>
            <w:r>
              <w:rPr>
                <w:rFonts w:ascii="Calibri" w:cs="Calibri" w:eastAsia="Calibri" w:hAnsi="Calibri"/>
                <w:color w:val="2B2926"/>
                <w:sz w:val="20"/>
                <w:szCs w:val="20"/>
              </w:rPr>
              <w:t xml:space="preserve">TALENT es un emprendimiento real, verificable y no formalizado. Cumple el perfil de unidad de análisis para los cuatro Trabajos de Aplicación.</w:t>
            </w:r>
          </w:p>
        </w:tc>
      </w:tr>
    </w:tbl>
    <w:p>
      <w:r>
        <w:br w:type="page"/>
      </w:r>
    </w:p>
    <w:p>
      <w:pPr>
        <w:keepNext/>
        <w:spacing w:after="60" w:before="0" w:line="276" w:lineRule="auto"/>
      </w:pPr>
      <w:r>
        <w:rPr>
          <w:rFonts w:ascii="Calibri" w:cs="Calibri" w:eastAsia="Calibri" w:hAnsi="Calibri"/>
          <w:b/>
          <w:bCs/>
          <w:color w:val="9C8A6B"/>
          <w:spacing w:val="40"/>
          <w:sz w:val="16"/>
          <w:szCs w:val="16"/>
        </w:rPr>
        <w:t xml:space="preserve">ELEMENTO 5</w:t>
      </w:r>
    </w:p>
    <w:p>
      <w:pPr>
        <w:keepNext/>
        <w:spacing w:after="80" w:before="240" w:line="276" w:lineRule="auto"/>
      </w:pPr>
      <w:r>
        <w:rPr>
          <w:rFonts w:ascii="Calibri" w:cs="Calibri" w:eastAsia="Calibri" w:hAnsi="Calibri"/>
          <w:b/>
          <w:bCs/>
          <w:color w:val="9C8A6B"/>
          <w:sz w:val="30"/>
          <w:szCs w:val="30"/>
        </w:rPr>
        <w:t xml:space="preserve">02  </w:t>
      </w:r>
      <w:r>
        <w:rPr>
          <w:rFonts w:ascii="Calibri" w:cs="Calibri" w:eastAsia="Calibri" w:hAnsi="Calibri"/>
          <w:b/>
          <w:bCs/>
          <w:color w:val="0F0F0F"/>
          <w:sz w:val="30"/>
          <w:szCs w:val="30"/>
        </w:rPr>
        <w:t xml:space="preserve">Caracterización de TALENT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Reconstruimos el modelo de negocio con la fundadora a partir de su portafolio, su página web y sus materiales comerciales. Esta caracterización es la línea base de los cuatro TA.</w:t>
      </w:r>
    </w:p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val="2900" w:hRule="atLeast"/>
        </w:trPr>
        <w:tc>
          <w:tcPr>
            <w:tcW w:type="dxa" w:w="1872"/>
            <w:gridSpan w:val="2"/>
            <w:vMerge w:val="restart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F1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SOCIOS CLAVE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Asesora SST aliada con licencia vigente, operador de PILA, contador y abogado laboral. EPS, ARL y cajas de compensación como contrapartes.</w:t>
            </w:r>
          </w:p>
        </w:tc>
        <w:tc>
          <w:tcPr>
            <w:tcW w:type="dxa" w:w="1872"/>
            <w:gridSpan w:val="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F1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ACTIVIDADES CLAVE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Liquidación de nómina y seguridad social, selección y contratación, SG-SST, políticas de RRHH, capacitaciones, desarrollo de su plataforma y búsqueda de clientes.</w:t>
            </w:r>
          </w:p>
        </w:tc>
        <w:tc>
          <w:tcPr>
            <w:tcW w:type="dxa" w:w="1872"/>
            <w:gridSpan w:val="2"/>
            <w:vMerge w:val="restart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0F0F0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30"/>
                <w:sz w:val="15"/>
                <w:szCs w:val="15"/>
              </w:rPr>
              <w:t xml:space="preserve">PROPUESTA DE VALOR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FAF8F4"/>
                <w:sz w:val="17"/>
                <w:szCs w:val="17"/>
              </w:rPr>
              <w:t xml:space="preserve">Crear y manejar el área de RRHH de la empresa con tecnología (dashboards, automatización e IA) y acompañarla hasta que funcione sola. Es una alternativa a contratar personal de planta.</w:t>
            </w:r>
          </w:p>
        </w:tc>
        <w:tc>
          <w:tcPr>
            <w:tcW w:type="dxa" w:w="1872"/>
            <w:gridSpan w:val="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F1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RELACIÓN CON CLIENTES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Atención personalizada, reunión de diagnóstico inicial y acompañamiento mensual recurrente.</w:t>
            </w:r>
          </w:p>
        </w:tc>
        <w:tc>
          <w:tcPr>
            <w:tcW w:type="dxa" w:w="1872"/>
            <w:gridSpan w:val="2"/>
            <w:vMerge w:val="restart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5D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SEGMENTOS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Pymes y startups de cualquier sector, desde 1 empleado. Primero Medellín y Antioquia, luego toda Colombia. Prioridad: empresas sin área de RRHH.</w:t>
            </w:r>
          </w:p>
        </w:tc>
      </w:tr>
      <w:tr>
        <w:trPr>
          <w:trHeight w:val="2300" w:hRule="atLeast"/>
        </w:trPr>
        <w:tc>
          <w:tcPr>
            <w:gridSpan w:val="2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</w:tcPr>
          <w:p/>
        </w:tc>
        <w:tc>
          <w:tcPr>
            <w:tcW w:type="dxa" w:w="1872"/>
            <w:gridSpan w:val="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F1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RECURSOS CLAVE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Experiencia de la fundadora en RRHH, nómina y SST; marca, logo y página web; plataforma propia en desarrollo.</w:t>
            </w:r>
          </w:p>
        </w:tc>
        <w:tc>
          <w:tcPr>
            <w:gridSpan w:val="2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</w:tcPr>
          <w:p/>
        </w:tc>
        <w:tc>
          <w:tcPr>
            <w:tcW w:type="dxa" w:w="1872"/>
            <w:gridSpan w:val="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F1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CANALES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Página web, Instagram, TikTok, LinkedIn, WhatsApp, correos a empresas y referidos.</w:t>
            </w:r>
          </w:p>
        </w:tc>
        <w:tc>
          <w:tcPr>
            <w:gridSpan w:val="2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</w:tcPr>
          <w:p/>
        </w:tc>
      </w:tr>
      <w:tr>
        <w:trPr>
          <w:trHeight w:val="1200" w:hRule="atLeast"/>
        </w:trPr>
        <w:tc>
          <w:tcPr>
            <w:tcW w:type="dxa" w:w="4680"/>
            <w:gridSpan w:val="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5D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ESTRUCTURA DE COSTOS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Tiempo de la fundadora, dominio y correo, herramientas digitales, publicidad en redes, honorarios de aliados y costos de formalización.</w:t>
            </w:r>
          </w:p>
        </w:tc>
        <w:tc>
          <w:tcPr>
            <w:tcW w:type="dxa" w:w="4680"/>
            <w:gridSpan w:val="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5D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5"/>
                <w:szCs w:val="15"/>
              </w:rPr>
              <w:t xml:space="preserve">FUENTES DE INGRESO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color w:val="2B2926"/>
                <w:sz w:val="17"/>
                <w:szCs w:val="17"/>
              </w:rPr>
              <w:t xml:space="preserve">Planes mensuales según número de empleados, proyectos de SG-SST, diagnóstico de RRHH y planes a la medida.</w:t>
            </w:r>
          </w:p>
        </w:tc>
      </w:tr>
    </w:tbl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Descripción narrativa del modelo de negocio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TALENT nace de la experiencia de su fundadora como coordinadora de recursos humanos y de sus cinco años en selección para el sector retail. En ese camino identificó que muchas pymes en Colombia no tienen un área de RRHH: contratan sin procesos claros, liquidan la nómina como pueden y dejan el SG-SST para después, lo que les termina generando multas, demandas y rotación de personal.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Para resolverlo, TALENT ofrece a estas empresas un servicio completo de recursos humanos, nómina y SST apoyado en tecnología. Su diferencial es que no solo presta el servicio: construye el área desde cero, la acompaña mes a mes y la deja organizada para que la empresa la pueda manejar sola. Para eso está desarrollando una plataforma propia que el cliente conservará al terminar la consultoría.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El negocio es digital: no tiene local, atiende de forma remota y construye su marca en redes sociales y con contacto directo con las empresas. Gana dinero con planes mensuales que se cobran según el número de empleados y con proyectos puntuales como el SG-SST o el diagnóstico de RRHH, que funciona como puerta de entrada al cliente.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Hoy TALENT está en una etapa inicial. Tiene marca, página web, portafolio, redes sociales y una aliada con licencia en SST, y está buscando sus primeros clientes. Lo que le falta es la estructura legal para operar formalmente, que es justamente lo que revisa nuestro diagnóstico.</w:t>
      </w:r>
    </w:p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Portafolio de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Línea</w:t>
            </w:r>
          </w:p>
        </w:tc>
        <w:tc>
          <w:tcPr>
            <w:tcW w:type="dxa" w:w="66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Servicios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Atracción y vinculación</w:t>
            </w:r>
          </w:p>
        </w:tc>
        <w:tc>
          <w:tcPr>
            <w:tcW w:type="dxa" w:w="66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Reclutamiento, selección, contratación y onboarding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Nómina y seguridad social</w:t>
            </w:r>
          </w:p>
        </w:tc>
        <w:tc>
          <w:tcPr>
            <w:tcW w:type="dxa" w:w="66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Implementación desde cero, liquidación y pago, nómina electrónica, liquidaciones de contrato y conciliaciones ante EPS y ARL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SG-SST</w:t>
            </w:r>
          </w:p>
        </w:tc>
        <w:tc>
          <w:tcPr>
            <w:tcW w:type="dxa" w:w="66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Estándares mínimos, implementación y gestión mensual por horas, con aliada licenciada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Gestión y desarrollo</w:t>
            </w:r>
          </w:p>
        </w:tc>
        <w:tc>
          <w:tcPr>
            <w:tcW w:type="dxa" w:w="66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Bienestar, capacitación, políticas de RRHH y legislación laboral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Estructuración</w:t>
            </w:r>
          </w:p>
        </w:tc>
        <w:tc>
          <w:tcPr>
            <w:tcW w:type="dxa" w:w="66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Creación del área de RRHH, diagnóstico de RRHH y acompañamiento de auditorías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Datos y tecnología</w:t>
            </w:r>
          </w:p>
        </w:tc>
        <w:tc>
          <w:tcPr>
            <w:tcW w:type="dxa" w:w="66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KPIs, dashboards, IA aplicada y Excel avanzados</w:t>
            </w:r>
          </w:p>
        </w:tc>
      </w:tr>
    </w:tbl>
    <w:p>
      <w:r>
        <w:br w:type="page"/>
      </w:r>
    </w:p>
    <w:p>
      <w:pPr>
        <w:keepNext/>
        <w:spacing w:after="60" w:before="0" w:line="276" w:lineRule="auto"/>
      </w:pPr>
      <w:r>
        <w:rPr>
          <w:rFonts w:ascii="Calibri" w:cs="Calibri" w:eastAsia="Calibri" w:hAnsi="Calibri"/>
          <w:b/>
          <w:bCs/>
          <w:color w:val="9C8A6B"/>
          <w:spacing w:val="40"/>
          <w:sz w:val="16"/>
          <w:szCs w:val="16"/>
        </w:rPr>
        <w:t xml:space="preserve">ELEMENTO 6</w:t>
      </w:r>
    </w:p>
    <w:p>
      <w:pPr>
        <w:keepNext/>
        <w:spacing w:after="80" w:before="240" w:line="276" w:lineRule="auto"/>
      </w:pPr>
      <w:r>
        <w:rPr>
          <w:rFonts w:ascii="Calibri" w:cs="Calibri" w:eastAsia="Calibri" w:hAnsi="Calibri"/>
          <w:b/>
          <w:bCs/>
          <w:color w:val="9C8A6B"/>
          <w:sz w:val="30"/>
          <w:szCs w:val="30"/>
        </w:rPr>
        <w:t xml:space="preserve">03  </w:t>
      </w:r>
      <w:r>
        <w:rPr>
          <w:rFonts w:ascii="Calibri" w:cs="Calibri" w:eastAsia="Calibri" w:hAnsi="Calibri"/>
          <w:b/>
          <w:bCs/>
          <w:color w:val="0F0F0F"/>
          <w:sz w:val="30"/>
          <w:szCs w:val="30"/>
        </w:rPr>
        <w:t xml:space="preserve">Diagnóstico de debida diligencia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Aplicamos el instrumento de diagnóstico en una reunión virtual con la fundadora de TALENT. Revisamos 12 aspectos agrupados en cinco frentes: registro y forma jurídica, obligaciones tributarias, seguridad social, contratos y datos, y marca y operación. Cada respuesta se soporta con la evidencia indicada en la tabla.</w:t>
      </w:r>
    </w:p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Registro de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27 de octubre de 2026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Medio</w:t>
            </w:r>
          </w:p>
        </w:tc>
        <w:tc>
          <w:tcPr>
            <w:tcW w:type="dxa" w:w="6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Reunión virtual por Google Meet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Cliente que respondió</w:t>
            </w:r>
          </w:p>
        </w:tc>
        <w:tc>
          <w:tcPr>
            <w:tcW w:type="dxa" w:w="6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Bárbara Villada Valderrama, fundadora de TALENT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Integrantes que aplicaron</w:t>
            </w:r>
          </w:p>
        </w:tc>
        <w:tc>
          <w:tcPr>
            <w:tcW w:type="dxa" w:w="6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Diana Marcela Salazar Ramírez y Lina Marcela Cataño Fernández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Evidencia</w:t>
            </w:r>
          </w:p>
        </w:tc>
        <w:tc>
          <w:tcPr>
            <w:tcW w:type="dxa" w:w="6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Pantallazos de la reunión, acta firmada por la fundadora y documentos de soporte (anexos)</w:t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DCE3D1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56"/>
                <w:szCs w:val="56"/>
              </w:rPr>
              <w:t xml:space="preserve">3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A52"/>
                <w:spacing w:val="30"/>
                <w:sz w:val="15"/>
                <w:szCs w:val="15"/>
              </w:rPr>
              <w:t xml:space="preserve">CUMPLE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5D9C3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56"/>
                <w:szCs w:val="56"/>
              </w:rPr>
              <w:t xml:space="preserve">1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A52"/>
                <w:spacing w:val="30"/>
                <w:sz w:val="15"/>
                <w:szCs w:val="15"/>
              </w:rPr>
              <w:t xml:space="preserve">PARCIAL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BD5CD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56"/>
                <w:szCs w:val="56"/>
              </w:rPr>
              <w:t xml:space="preserve">8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A52"/>
                <w:spacing w:val="30"/>
                <w:sz w:val="15"/>
                <w:szCs w:val="15"/>
              </w:rPr>
              <w:t xml:space="preserve">NO CUMPLE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0F0F0F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D9C3"/>
                <w:sz w:val="56"/>
                <w:szCs w:val="56"/>
              </w:rPr>
              <w:t xml:space="preserve">12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AF8F4"/>
                <w:spacing w:val="30"/>
                <w:sz w:val="15"/>
                <w:szCs w:val="15"/>
              </w:rPr>
              <w:t xml:space="preserve">ASPECTOS REVISADOS</w:t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900"/>
        <w:gridCol w:w="1200"/>
        <w:gridCol w:w="1360"/>
      </w:tblGrid>
      <w:tr>
        <w:trPr>
          <w:cantSplit/>
          <w:tblHeader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Frente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Aspecto revisado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Respuesta del cliente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Estado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Registro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Matrícula en la Cámara de Comercio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está matriculada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Consulta RUES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Registro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Tipo de empresa (persona natural o S.A.S.)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lo ha decidido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Acta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Tributario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RUT con la actividad del negocio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Tiene RUT como persona natural, pero no a nombre de TALENT ni con su actividad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5D9C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Parcial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Copia del RUT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Tributario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Facturación electrónica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la tiene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Acta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Tributario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Régimen tributario elegido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lo ha definido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Acta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Seguridad social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Aportes como independiente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Sí, paga como independiente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DCE3D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Planilla PILA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Contratos y datos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Contrato modelo con clientes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tiene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Acta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Contratos y datos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Política de datos personales (Ley 1581 de 2012)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tiene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Revisión web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Marca y operación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Registro de la marca ante la SIC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está registrada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Consulta SIC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Marca y operación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Licencia en SST para servicios de SG-SST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Alianza con una asesora SST con licencia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DCE3D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Licencia de la aliada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Marca y operación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Cuenta bancaria separada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la tiene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EBD5C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Acta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Marca y operación</w:t>
            </w:r>
          </w:p>
        </w:tc>
        <w:tc>
          <w:tcPr>
            <w:tcW w:type="dxa" w:w="24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Portafolio y precios definidos</w:t>
            </w:r>
          </w:p>
        </w:tc>
        <w:tc>
          <w:tcPr>
            <w:tcW w:type="dxa" w:w="29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Sí, tiene portafolio y planes</w:t>
            </w:r>
          </w:p>
        </w:tc>
        <w:tc>
          <w:tcPr>
            <w:tcW w:type="dxa" w:w="1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DCE3D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Cumple</w:t>
            </w:r>
          </w:p>
        </w:tc>
        <w:tc>
          <w:tcPr>
            <w:tcW w:type="dxa" w:w="13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Portafolio y web</w:t>
            </w:r>
          </w:p>
        </w:tc>
      </w:tr>
    </w:tbl>
    <w:p>
      <w:r>
        <w:br w:type="page"/>
      </w:r>
    </w:p>
    <w:p>
      <w:pPr>
        <w:keepNext/>
        <w:spacing w:after="60" w:before="0" w:line="276" w:lineRule="auto"/>
      </w:pPr>
      <w:r>
        <w:rPr>
          <w:rFonts w:ascii="Calibri" w:cs="Calibri" w:eastAsia="Calibri" w:hAnsi="Calibri"/>
          <w:b/>
          <w:bCs/>
          <w:color w:val="9C8A6B"/>
          <w:spacing w:val="40"/>
          <w:sz w:val="16"/>
          <w:szCs w:val="16"/>
        </w:rPr>
        <w:t xml:space="preserve">ELEMENTO 6</w:t>
      </w:r>
    </w:p>
    <w:p>
      <w:pPr>
        <w:keepNext/>
        <w:spacing w:after="80" w:before="240" w:line="276" w:lineRule="auto"/>
      </w:pPr>
      <w:r>
        <w:rPr>
          <w:rFonts w:ascii="Calibri" w:cs="Calibri" w:eastAsia="Calibri" w:hAnsi="Calibri"/>
          <w:b/>
          <w:bCs/>
          <w:color w:val="9C8A6B"/>
          <w:sz w:val="30"/>
          <w:szCs w:val="30"/>
        </w:rPr>
        <w:t xml:space="preserve">04  </w:t>
      </w:r>
      <w:r>
        <w:rPr>
          <w:rFonts w:ascii="Calibri" w:cs="Calibri" w:eastAsia="Calibri" w:hAnsi="Calibri"/>
          <w:b/>
          <w:bCs/>
          <w:color w:val="0F0F0F"/>
          <w:sz w:val="30"/>
          <w:szCs w:val="30"/>
        </w:rPr>
        <w:t xml:space="preserve">Hallazgos y conclusiones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TALENT tiene un producto y una marca listos para vender, pero opera sin la estructura legal que le van a exigir sus clientes, la DIAN y un futuro inversionista. Estos son los hallazgos principales.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0F0F0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D9C3"/>
                <w:sz w:val="24"/>
                <w:szCs w:val="24"/>
              </w:rPr>
              <w:t xml:space="preserve">01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F1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20"/>
                <w:szCs w:val="20"/>
              </w:rPr>
              <w:t xml:space="preserve">Formalización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DD2BE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TALENT no tiene matrícula mercantil, facturación electrónica, régimen tributario definido ni cuenta bancaria separada, y su RUT está solo como persona natural. En la práctica, esto le impide facturar a las pymes que quiere tener como clientes, porque ellas necesitan una factura válida para soportar el gasto.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0F0F0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D9C3"/>
                <w:sz w:val="24"/>
                <w:szCs w:val="24"/>
              </w:rPr>
              <w:t xml:space="preserve">02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F1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20"/>
                <w:szCs w:val="20"/>
              </w:rPr>
              <w:t xml:space="preserve">Tipo de empresa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DD2BE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La fundadora no ha decidido si va a operar como persona natural comerciante o como S.A.S. Como persona natural respondería con su patrimonio y no podría recibir socios; una S.A.S. limita la responsabilidad y permite inversión. De esta decisión dependen los demás trámites.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0F0F0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D9C3"/>
                <w:sz w:val="24"/>
                <w:szCs w:val="24"/>
              </w:rPr>
              <w:t xml:space="preserve">03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F1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20"/>
                <w:szCs w:val="20"/>
              </w:rPr>
              <w:t xml:space="preserve">Contratos y datos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DD2BE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No tiene contrato modelo con clientes ni política de tratamiento de datos personales, aunque su servicio implica manejar información sensible de los empleados de sus clientes, como nómina e incapacidades. Es el riesgo legal más alto que encontramos.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0F0F0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5D9C3"/>
                <w:sz w:val="24"/>
                <w:szCs w:val="24"/>
              </w:rPr>
              <w:t xml:space="preserve">04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F1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20"/>
                <w:szCs w:val="20"/>
              </w:rPr>
              <w:t xml:space="preserve">Marca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DD2BE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La marca no está registrada ante la SIC y “Talent” es una palabra muy común en el sector de RRHH, por lo que puede ser difícil registrarla. Hay que revisar antecedentes antes de seguir invirtiendo en ella.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5D9C3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0F0F"/>
                <w:sz w:val="24"/>
                <w:szCs w:val="24"/>
              </w:rPr>
              <w:t xml:space="preserve">05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F1E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20"/>
                <w:szCs w:val="20"/>
              </w:rPr>
              <w:t xml:space="preserve">Fortalezas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DD2BE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El negocio ya tiene portafolio claro, marca y página web. La fundadora cotiza a seguridad social como independiente y cuenta con una aliada con licencia en SST, lo que le permite prestar ese servicio de forma legal.</w:t>
            </w:r>
          </w:p>
        </w:tc>
      </w:tr>
    </w:tbl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Conclusiones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TALENT cumple el perfil de unidad de análisis: es un emprendimiento real, verificable y no formalizado.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De los 12 aspectos revisados, cumple 3, cumple parcialmente 1 y no cumple 8. Su nivel de formalización es inicial.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Las brechas se concentran en el registro, lo tributario, los contratos y la protección de datos. La seguridad social, la licencia SST y el portafolio están en regla.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Lo primero que debe hacer es decidir el tipo de empresa, porque de esa decisión dependen la matrícula, el RUT, la facturación y el registro de la marca.</w:t>
      </w:r>
    </w:p>
    <w:p>
      <w:r>
        <w:br w:type="page"/>
      </w:r>
    </w:p>
    <w:p>
      <w:pPr>
        <w:keepNext/>
        <w:spacing w:after="60" w:before="0" w:line="276" w:lineRule="auto"/>
      </w:pPr>
      <w:r>
        <w:rPr>
          <w:rFonts w:ascii="Calibri" w:cs="Calibri" w:eastAsia="Calibri" w:hAnsi="Calibri"/>
          <w:b/>
          <w:bCs/>
          <w:color w:val="9C8A6B"/>
          <w:spacing w:val="40"/>
          <w:sz w:val="16"/>
          <w:szCs w:val="16"/>
        </w:rPr>
        <w:t xml:space="preserve">ELEMENTO 6</w:t>
      </w:r>
    </w:p>
    <w:p>
      <w:pPr>
        <w:keepNext/>
        <w:spacing w:after="80" w:before="240" w:line="276" w:lineRule="auto"/>
      </w:pPr>
      <w:r>
        <w:rPr>
          <w:rFonts w:ascii="Calibri" w:cs="Calibri" w:eastAsia="Calibri" w:hAnsi="Calibri"/>
          <w:b/>
          <w:bCs/>
          <w:color w:val="9C8A6B"/>
          <w:sz w:val="30"/>
          <w:szCs w:val="30"/>
        </w:rPr>
        <w:t xml:space="preserve">05  </w:t>
      </w:r>
      <w:r>
        <w:rPr>
          <w:rFonts w:ascii="Calibri" w:cs="Calibri" w:eastAsia="Calibri" w:hAnsi="Calibri"/>
          <w:b/>
          <w:bCs/>
          <w:color w:val="0F0F0F"/>
          <w:sz w:val="30"/>
          <w:szCs w:val="30"/>
        </w:rPr>
        <w:t xml:space="preserve">Ruta de intervención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A partir de los hallazgos organizamos la intervención en los Trabajos de Aplicación del núcleo. Cada frente responde a uno o varios hallazgos.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600"/>
        <w:gridCol w:w="3160"/>
      </w:tblGrid>
      <w:tr>
        <w:trPr>
          <w:cantSplit/>
          <w:tblHeader/>
        </w:trPr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TA</w:t>
            </w:r>
          </w:p>
        </w:tc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Qué vamos a trabajar</w:t>
            </w:r>
          </w:p>
        </w:tc>
        <w:tc>
          <w:tcPr>
            <w:tcW w:type="dxa" w:w="31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Hallazgos que atiende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E5D9C3"/>
                <w:sz w:val="19"/>
                <w:szCs w:val="19"/>
              </w:rPr>
              <w:t xml:space="preserve">TA1</w:t>
            </w:r>
          </w:p>
        </w:tc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Semana 3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2 – 8 nov</w:t>
            </w:r>
          </w:p>
        </w:tc>
        <w:tc>
          <w:tcPr>
            <w:tcW w:type="dxa" w:w="36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Formalización de entrada: comparar tipos societarios, pactos previos, revisar la minuta de estatutos de la S.A.S., rastreo y registrabilidad de la marca, y matriz de vacíos de formalización</w:t>
            </w:r>
          </w:p>
        </w:tc>
        <w:tc>
          <w:tcPr>
            <w:tcW w:type="dxa" w:w="31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01 Formalización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02 Tipo de empresa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04 Marca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E5D9C3"/>
                <w:sz w:val="19"/>
                <w:szCs w:val="19"/>
              </w:rPr>
              <w:t xml:space="preserve">TA2</w:t>
            </w:r>
          </w:p>
        </w:tc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Semana 5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16 – 22 nov</w:t>
            </w:r>
          </w:p>
        </w:tc>
        <w:tc>
          <w:tcPr>
            <w:tcW w:type="dxa" w:w="36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Expansión empresarial: relación con los consumidores, términos y condiciones, tratamiento de datos personales, inventario de contratos, mecanismos de solución de conflictos y matriz de riesgos</w:t>
            </w:r>
          </w:p>
        </w:tc>
        <w:tc>
          <w:tcPr>
            <w:tcW w:type="dxa" w:w="31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03 Contratos y datos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E5D9C3"/>
                <w:sz w:val="19"/>
                <w:szCs w:val="19"/>
              </w:rPr>
              <w:t xml:space="preserve">TA3</w:t>
            </w:r>
          </w:p>
        </w:tc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Semana 7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30 nov – 6 dic</w:t>
            </w:r>
          </w:p>
        </w:tc>
        <w:tc>
          <w:tcPr>
            <w:tcW w:type="dxa" w:w="36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Crisis empresarial: información financiera, hipótesis de negocio en marcha a 12 meses, riesgos de liquidez, análisis frente a la Ley 1116 de 2006 y plan de continuidad</w:t>
            </w:r>
          </w:p>
        </w:tc>
        <w:tc>
          <w:tcPr>
            <w:tcW w:type="dxa" w:w="31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Sostenibilidad del negocio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E5D9C3"/>
                <w:sz w:val="19"/>
                <w:szCs w:val="19"/>
              </w:rPr>
              <w:t xml:space="preserve">TA4</w:t>
            </w:r>
          </w:p>
        </w:tc>
        <w:tc>
          <w:tcPr>
            <w:tcW w:type="dxa" w:w="13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Semana 8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7 – 11 dic</w:t>
            </w:r>
          </w:p>
        </w:tc>
        <w:tc>
          <w:tcPr>
            <w:tcW w:type="dxa" w:w="36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Sustentación y entrega final de la consultoría al cliente</w:t>
            </w:r>
          </w:p>
        </w:tc>
        <w:tc>
          <w:tcPr>
            <w:tcW w:type="dxa" w:w="31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Todos</w:t>
            </w:r>
          </w:p>
        </w:tc>
      </w:tr>
    </w:tbl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Alcance de la consultoría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0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30"/>
                <w:sz w:val="18"/>
                <w:szCs w:val="18"/>
              </w:rPr>
              <w:t xml:space="preserve">✓  DENTRO DEL ALCANCE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21"/>
                <w:szCs w:val="21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D9C3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0F0F0F"/>
                <w:spacing w:val="30"/>
                <w:sz w:val="18"/>
                <w:szCs w:val="18"/>
              </w:rPr>
              <w:t xml:space="preserve">✕  FUERA DEL ALCANCE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Recomendar el tipo de empresa (persona natural o S.A.S.) con sus ventajas y desventajas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Explicar paso a paso cómo formalizarse: RUT, matrícula y facturación electrónica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Revisar la minuta de estatutos de la S.A.S.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Analizar si la marca TALENT se puede registrar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Proponer un contrato modelo, términos y condiciones y una política de datos personales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Analizar los riesgos financieros y de continuidad del negocio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21"/>
                <w:szCs w:val="21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Hacer los trámites o pagos en nombre del cliente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Llevar la contabilidad o presentar declaraciones de impuestos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Dar asesoría legal con responsabilidad de abogado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Radicar la solicitud de marca y hacerle seguimiento ante la SIC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Desarrollar la plataforma tecnológica de TALENT</w:t>
            </w:r>
          </w:p>
          <w:p>
            <w:pPr>
              <w:spacing w:after="10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z w:val="21"/>
                <w:szCs w:val="21"/>
              </w:rPr>
              <w:t xml:space="preserve">—  </w:t>
            </w: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Buscar inversionistas o clientes para el negocio</w:t>
            </w:r>
          </w:p>
        </w:tc>
      </w:tr>
    </w:tbl>
    <w:p>
      <w:pPr>
        <w:spacing w:after="160" w:before="0" w:line="276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0F0F" w:sz="36"/>
              <w:bottom w:val="none" w:color="FFFFFF" w:sz="0"/>
              <w:right w:val="none" w:color="FFFFFF" w:sz="0"/>
            </w:tcBorders>
            <w:shd w:fill="F6F1E8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9C8A6B"/>
                <w:spacing w:val="30"/>
                <w:sz w:val="16"/>
                <w:szCs w:val="16"/>
              </w:rPr>
              <w:t xml:space="preserve">RESPONSABILIDAD DEL CLIENTE</w:t>
            </w:r>
          </w:p>
          <w:p>
            <w:pPr>
              <w:spacing w:after="0" w:before="0" w:line="288" w:lineRule="auto"/>
            </w:pPr>
            <w:r>
              <w:rPr>
                <w:rFonts w:ascii="Calibri" w:cs="Calibri" w:eastAsia="Calibri" w:hAnsi="Calibri"/>
                <w:color w:val="2B2926"/>
                <w:sz w:val="20"/>
                <w:szCs w:val="20"/>
              </w:rPr>
              <w:t xml:space="preserve">Las decisiones finales y los trámites quedan a cargo de la fundadora de TALENT, que los ejecuta con los entregables de la consultoría.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color w:val="9C8A6B"/>
          <w:spacing w:val="40"/>
          <w:sz w:val="16"/>
          <w:szCs w:val="16"/>
        </w:rPr>
        <w:t xml:space="preserve">SOPORTES</w:t>
      </w:r>
    </w:p>
    <w:p>
      <w:pPr>
        <w:keepNext/>
        <w:spacing w:after="80" w:before="240" w:line="276" w:lineRule="auto"/>
      </w:pPr>
      <w:r>
        <w:rPr>
          <w:rFonts w:ascii="Calibri" w:cs="Calibri" w:eastAsia="Calibri" w:hAnsi="Calibri"/>
          <w:b/>
          <w:bCs/>
          <w:color w:val="9C8A6B"/>
          <w:sz w:val="30"/>
          <w:szCs w:val="30"/>
        </w:rPr>
        <w:t xml:space="preserve">06  </w:t>
      </w:r>
      <w:r>
        <w:rPr>
          <w:rFonts w:ascii="Calibri" w:cs="Calibri" w:eastAsia="Calibri" w:hAnsi="Calibri"/>
          <w:b/>
          <w:bCs/>
          <w:color w:val="0F0F0F"/>
          <w:sz w:val="30"/>
          <w:szCs w:val="30"/>
        </w:rPr>
        <w:t xml:space="preserve">Anexos y evidencias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>Estos soportes respaldan la verificación del perfil y la aplicación del instrumento con el cliente. Se encuentran en la carpeta “Diagnóstico” del Data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cantSplit/>
          <w:tblHeader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N.º</w:t>
            </w:r>
          </w:p>
        </w:tc>
        <w:tc>
          <w:tcPr>
            <w:tcW w:type="dxa" w:w="4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Evidencia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Qué demuestra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A1</w:t>
            </w:r>
          </w:p>
        </w:tc>
        <w:tc>
          <w:tcPr>
            <w:tcW w:type="dxa" w:w="4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Pantallazo de la consulta en el RUES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Que TALENT no tiene matrícula ni sociedad constituida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A2</w:t>
            </w:r>
          </w:p>
        </w:tc>
        <w:tc>
          <w:tcPr>
            <w:tcW w:type="dxa" w:w="4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Pantallazos de la reunión del 27 de octubre de 2026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Que el instrumento se aplicó con la fundadora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A3</w:t>
            </w:r>
          </w:p>
        </w:tc>
        <w:tc>
          <w:tcPr>
            <w:tcW w:type="dxa" w:w="4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Acta de la reunión firmada por la fundadora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Las respuestas que dio el cliente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A4</w:t>
            </w:r>
          </w:p>
        </w:tc>
        <w:tc>
          <w:tcPr>
            <w:tcW w:type="dxa" w:w="4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RUT de la fundadora y planilla PILA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Los aspectos tributarios y de seguridad social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A5</w:t>
            </w:r>
          </w:p>
        </w:tc>
        <w:tc>
          <w:tcPr>
            <w:tcW w:type="dxa" w:w="4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Licencia SST de la asesora aliada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La habilitación para prestar servicios de SG-SST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9C8A6B"/>
                <w:sz w:val="19"/>
                <w:szCs w:val="19"/>
              </w:rPr>
              <w:t xml:space="preserve">A6</w:t>
            </w:r>
          </w:p>
        </w:tc>
        <w:tc>
          <w:tcPr>
            <w:tcW w:type="dxa" w:w="420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Pantallazos de la página web y redes sociales</w:t>
            </w:r>
          </w:p>
        </w:tc>
        <w:tc>
          <w:tcPr>
            <w:tcW w:type="dxa" w:w="446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B2926"/>
                <w:sz w:val="19"/>
                <w:szCs w:val="19"/>
              </w:rPr>
              <w:t xml:space="preserve">Que el negocio existe y opera</w:t>
            </w:r>
          </w:p>
        </w:tc>
      </w:tr>
    </w:tbl>
    <w:p>
      <w:pPr>
        <w:spacing w:after="240" w:before="0" w:line="276" w:lineRule="auto"/>
      </w:pPr>
      <w:r>
        <w:rPr>
          <w:rFonts w:ascii="Calibri" w:cs="Calibri" w:eastAsia="Calibri" w:hAnsi="Calibri"/>
          <w:color w:val="2B2926"/>
          <w:sz w:val="21"/>
          <w:szCs w:val="21"/>
        </w:rPr>
        <w:t xml:space="preserve"/>
      </w:r>
    </w:p>
    <w:p>
      <w:pPr>
        <w:keepNext/>
        <w:pBdr>
          <w:left w:val="single" w:color="E5D9C3" w:sz="24" w:space="8"/>
        </w:pBdr>
        <w:spacing w:after="80" w:before="160" w:line="276" w:lineRule="auto"/>
      </w:pPr>
      <w:r>
        <w:rPr>
          <w:rFonts w:ascii="Calibri" w:cs="Calibri" w:eastAsia="Calibri" w:hAnsi="Calibri"/>
          <w:b/>
          <w:bCs/>
          <w:color w:val="0F0F0F"/>
          <w:sz w:val="23"/>
          <w:szCs w:val="23"/>
        </w:rPr>
        <w:t xml:space="preserve">Elaborado por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Equipo consultor</w:t>
            </w:r>
          </w:p>
        </w:tc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0F0F0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E5D9C3"/>
                <w:spacing w:val="20"/>
                <w:sz w:val="18"/>
                <w:szCs w:val="18"/>
              </w:rPr>
              <w:t xml:space="preserve">Rol en este informe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Bárbara Villada Valderrama</w:t>
            </w:r>
          </w:p>
        </w:tc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Fundadora de TALENT · caracterización del modelo de negocio (BMC)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Diana Marcela Salazar Ramírez</w:t>
            </w:r>
          </w:p>
        </w:tc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Aplicación del instrumento de debida diligencia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Lina Marcela Cataño Fernández</w:t>
            </w:r>
          </w:p>
        </w:tc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Aplicación del instrumento de debida diligencia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Yurany Posada Sánchez</w:t>
            </w:r>
          </w:p>
        </w:tc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BF9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Cronograma y seguimiento de entregas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shd w:fill="F6F1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B2926"/>
                <w:sz w:val="19"/>
                <w:szCs w:val="19"/>
              </w:rPr>
              <w:t xml:space="preserve">Carolina Flórez Rúa</w:t>
            </w:r>
          </w:p>
        </w:tc>
        <w:tc>
          <w:tcPr>
            <w:tcW w:type="dxa" w:w="4680"/>
            <w:tcBorders>
              <w:top w:val="single" w:color="DDD2BE" w:sz="4"/>
              <w:left w:val="single" w:color="DDD2BE" w:sz="4"/>
              <w:bottom w:val="single" w:color="DDD2BE" w:sz="4"/>
              <w:right w:val="single" w:color="DDD2B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B2926"/>
                <w:sz w:val="19"/>
                <w:szCs w:val="19"/>
              </w:rPr>
              <w:t xml:space="preserve">Accountability y entrega al cliente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600" w:footer="500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9C3" w:sz="4" w:space="6"/>
      </w:pBdr>
      <w:tabs>
        <w:tab w:val="right" w:pos="9360"/>
      </w:tabs>
    </w:pPr>
    <w:r>
      <w:rPr>
        <w:rFonts w:ascii="Calibri" w:cs="Calibri" w:eastAsia="Calibri" w:hAnsi="Calibri"/>
        <w:color w:val="9C8A6B"/>
        <w:spacing w:val="40"/>
        <w:sz w:val="15"/>
        <w:szCs w:val="15"/>
      </w:rPr>
      <w:t xml:space="preserve">PEOPLE INFRASTRUCTURE</w:t>
    </w:r>
    <w:r>
      <w:rPr>
        <w:rFonts w:ascii="Calibri" w:cs="Calibri" w:eastAsia="Calibri" w:hAnsi="Calibri"/>
        <w:b/>
        <w:bCs/>
        <w:color w:val="0F0F0F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9C3" w:sz="6" w:space="6"/>
      </w:pBdr>
      <w:tabs>
        <w:tab w:val="right" w:pos="9360"/>
      </w:tabs>
      <w:spacing w:after="0"/>
    </w:pPr>
    <w:r>
      <w:drawing>
        <wp:inline distT="0" distB="0" distL="0" distR="0">
          <wp:extent cx="190500" cy="1905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0F0F0F"/>
        <w:sz w:val="20"/>
        <w:szCs w:val="20"/>
      </w:rPr>
      <w:t xml:space="preserve">  Talent</w:t>
    </w:r>
    <w:r>
      <w:rPr>
        <w:rFonts w:ascii="Calibri" w:cs="Calibri" w:eastAsia="Calibri" w:hAnsi="Calibri"/>
        <w:color w:val="9C8A6B"/>
        <w:spacing w:val="30"/>
        <w:sz w:val="15"/>
        <w:szCs w:val="15"/>
      </w:rPr>
      <w:t xml:space="preserve">	INFORME ESCRITO DE CONSULTORÍA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560" w:hanging="300"/>
      </w:pPr>
      <w:rPr>
        <w:color w:val="9C8A6B"/>
        <w:sz w:val="14"/>
        <w:szCs w:val="1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40"/>
      </w:pPr>
      <w:rPr>
        <w:b/>
        <w:bCs/>
        <w:color w:val="9C8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a63d220a0407a737178764bf4f8604f7c09c95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322c1b966824d7290f70dfbd968f8281c6247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2026-10-29T02:12:27.634Z</dcterms:created>
  <dcterms:modified xsi:type="dcterms:W3CDTF">2026-10-29T02:12:27.635Z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