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52"/>
        </w:rPr>
        <w:t>BAYİ OTOMATİK FATURALAMA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Proje Planı ve Teknik Tasarım Dokümanı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ICTREQ-19500 | Workpackage: ICTWP-XXXXX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Kaynak Analiz: Bayi Otomatik faturalama analiz dokümanı (3)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PO Referans: Manual TDM PO Template (tüm sheetler incelendi)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Platform: Oracle EBS (Hakediş ve ilişkili ekranlar)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Doküman Tarihi: 22.10.2026 (Europe/Istanbul)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Hazırlayan: Barbaros Songur / Teknik Tasarım</w:t>
      </w:r>
    </w:p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Bu doküman; mevcut analiz dokümanı ve manuel PO Excel şablonu incelenerek hazırlanmış uygulama proje planıdır. Hakediş yükleme, süreç takip, kart mapping, ATF/PO, 136 hesap mutabakatı ve Paycell/BYS/IDM entegrasyonları teknik seviyede ele alınmıştır.</w:t>
      </w:r>
    </w:p>
    <w:p>
      <w:pPr>
        <w:pStyle w:val="Heading1"/>
      </w:pPr>
      <w:r>
        <w:rPr>
          <w:color w:val="1F3A5F"/>
        </w:rPr>
        <w:t>1. Yönetici Özeti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Bayi personeline yapılan kampanya hakediş ödemeleri ve faturalama süreçleri bugün manuel yürütülmekte; operasyonel hata ve uzun mutabakat süreleri oluşmaktadır. Proje ile kampanya personel listesinin sisteme yüklenmesinden itibaren tüm süreç “domino taşı” etkisiyle otomatize edilecek; Paycell, BYS, IDM ve Oracle EBS entegre çalışacaktır.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Hedef çıktılar: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Manuel Excel/veri taşıma işlemlerinin sonlandırılması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Marka bazlı ATF ve bayi bazlı PO’nun Oracle EBS üzerinde otomatik üretimi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hesap takibi, eksi dekont ve bakiye iade süreçlerinin sistemsel güvence altına alınması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Personel bilgilendirme (BiP/SMS) ve mutabakat raporlarının standartlaştırılması</w:t>
      </w:r>
    </w:p>
    <w:p>
      <w:pPr>
        <w:pStyle w:val="Heading1"/>
      </w:pPr>
      <w:r>
        <w:rPr>
          <w:color w:val="1F3A5F"/>
        </w:rPr>
        <w:t>2. Kapsam ve Sınırlar</w:t>
      </w:r>
    </w:p>
    <w:p>
      <w:pPr>
        <w:pStyle w:val="Heading2"/>
      </w:pPr>
      <w:r>
        <w:rPr>
          <w:color w:val="1F3A5F"/>
        </w:rPr>
        <w:t>2.1 Kapsam İçinde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üzerinde hakediş ve ilişkili ekranlar (yükleme, takip, kart mapping, onay)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Otomatik ATF oluşturma ve ayrı ödeme grubunda yönetim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Bayi bazlı PO oluşturma (mevcut Manual TDM PO Template alan modeli baz alınarak)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BYS/IDM personel aktiflik ve bayi kod eşleşmesi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 NTS kart / KYC kontrolü, bakiye sorgu, ödeme tetikleme ve kampanya sonu iade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hesap muhasebe kayıtları ve mutabakat raporları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dekont bilgisi entegrasyonu (fizibilite sonrası)</w:t>
      </w:r>
    </w:p>
    <w:p>
      <w:pPr>
        <w:pStyle w:val="Heading2"/>
      </w:pPr>
      <w:r>
        <w:rPr>
          <w:color w:val="1F3A5F"/>
        </w:rPr>
        <w:t>2.2 Kapsam Dışı / Varsayımlar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Mevcut faturalama düzeninin vergi/hukuk onayı ile korunması (Emine Binal Kopuz koordinasyonu)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Yeni bayi tipi tanımları — Dealer_Type listesi parametrik olarak genişletilebilir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entegrasyonu kesinleşene kadar dekont yükleme manuel fallback ile desteklenebilir</w:t>
      </w:r>
    </w:p>
    <w:p>
      <w:pPr>
        <w:pStyle w:val="Heading1"/>
      </w:pPr>
      <w:r>
        <w:rPr>
          <w:color w:val="1F3A5F"/>
        </w:rPr>
        <w:t>3. Mevcut Durum ve Hedef Mimari</w:t>
      </w:r>
    </w:p>
    <w:p>
      <w:pPr>
        <w:pStyle w:val="Heading2"/>
      </w:pPr>
      <w:r>
        <w:rPr>
          <w:color w:val="1F3A5F"/>
        </w:rPr>
        <w:t>3.1 Mevcut Durum (As-Is)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listesi Excel ile hazırlanır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oluşturma Manual TDM PO Template ile yapılır; dosya “Atilacaklar” klasörüne taşınır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ATF, ödeme dağıtımı, 136 mutabakatı ve iade adımları parçalı / manuel ilerler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Mutabakat farkları ve uzun kapanış süreleri oluşur</w:t>
      </w:r>
    </w:p>
    <w:p>
      <w:pPr>
        <w:pStyle w:val="Heading2"/>
      </w:pPr>
      <w:r>
        <w:rPr>
          <w:color w:val="1F3A5F"/>
        </w:rPr>
        <w:t>3.2 Hedef Durum (To-Be) — Domino Akışı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Satış/Ticari Pazarlama kampanya listesini (GSM, TCKN, Tutar) Oracle EBS Hakediş Yükleme ekranından yükler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Sistem BYS/IDM ile personel aktifliği ve bayi kod eşleşmesini doğrular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Paycell ile kart ve KYC durumu sorgulanır; hatalı kayıtlar raporlanır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Onaylı liste ile marka/kampanya bazlı ATF oluşturulur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ATF onayı sonrası tutar Paycell NTS kartlarına aktarılır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Banka dekontu (Cashstation / sistem) geldiğinde bireysel ödemeler otomatik başlar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Başarılı ödemeler kadar bayi bazlı fatura/dekont ile 136 hesap alacaklandırılır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Kalan tutar için eksi dekont + NTS kalan bakiye iadesi ile hesap kapatılır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Personel BiP/SMS ile “Ekip Adı: Kampanya Adı” formatında bilgilendirilir</w:t>
      </w:r>
    </w:p>
    <w:p>
      <w:pPr>
        <w:pStyle w:val="Heading2"/>
      </w:pPr>
      <w:r>
        <w:rPr>
          <w:color w:val="1F3A5F"/>
        </w:rPr>
        <w:t>3.3 Sistem Entegrasyon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Sistem</w:t>
            </w:r>
          </w:p>
        </w:tc>
        <w:tc>
          <w:tcPr>
            <w:tcW w:type="dxa" w:w="311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96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Teknik Not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EBS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Hakediş UI, ATF/PO, 136 GL, onay hiyerarşisi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OAF/ADF veya Forms + Concurrent + API/DB package</w:t>
            </w:r>
          </w:p>
        </w:tc>
      </w:tr>
      <w:tr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/ bayi master veri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Aktiflik, bayi kod eşleşmesi servisi veya DB view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Kimlik / yetki doğrulama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aktiflik çapraz kontrol</w:t>
            </w:r>
          </w:p>
        </w:tc>
      </w:tr>
      <w:tr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/ PSR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kart, KYC, bakiye, ödeme, iade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TabGetBalance vb. SOAP/REST servisler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Banka dekont bilgisi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çekim fizibilitesi (Sarper Bey)</w:t>
            </w:r>
          </w:p>
        </w:tc>
      </w:tr>
      <w:tr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BiP / SMS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bilgilendirme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no; standart açıklama şablonu</w:t>
            </w:r>
          </w:p>
        </w:tc>
      </w:tr>
    </w:tbl>
    <w:p/>
    <w:p>
      <w:pPr>
        <w:pStyle w:val="Heading1"/>
      </w:pPr>
      <w:r>
        <w:rPr>
          <w:color w:val="1F3A5F"/>
        </w:rPr>
        <w:t>4. Oracle EBS Ekranları (Hakediş ve İlişkili)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Kullanıcı arayüzü ve süreç yönetimi Oracle EBS üzerinde konumlandırılacaktır. Aşağıdaki ekran seti analiz dokümanındaki 3.1.1 maddesine dayanır ve proje kapsamında detaylandırılmıştır.</w:t>
      </w:r>
    </w:p>
    <w:p>
      <w:pPr>
        <w:pStyle w:val="Heading2"/>
      </w:pPr>
      <w:r>
        <w:rPr>
          <w:color w:val="1F3A5F"/>
        </w:rPr>
        <w:t>4.1 Hakediş Yükleme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Kampanya personel listesinin güvenli şekilde sisteme alınması ve validasyon tetiklenmesi.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Alanlar: Kampanya Adı, Kampanya/Event Tarihi, Marka (Turkcell/SOL), Ekip Adı, Dosya seçimi (xlsx/csv)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Beklenen satır alanları: GSM, TCKN, Tutar (KDV’siz), Bayi Kodu (CODE_COLLABORATEUR), opsiyonel açıklama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Validasyonlar: zorunlu alan, TCKN format, tutar &gt; 0, mükerrer TCKN-Tutar-Tarih kontrolü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İşlem: Staging tabloya yükle → Concurrent ile BYS/IDM + Paycell kontrollerini çalıştır → sonuç grid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XX_BOF_HAKEDIS_HDR / XX_BOF_HAKEDIS_LN tabloları; XXBOF_UPLOAD concurrent; UTL_FILE veya WebADI benzeri upload</w:t>
      </w:r>
    </w:p>
    <w:p>
      <w:pPr>
        <w:pStyle w:val="Heading2"/>
      </w:pPr>
      <w:r>
        <w:rPr>
          <w:color w:val="1F3A5F"/>
        </w:rPr>
        <w:t>4.2 Süreç Takip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ATF, Paycell bakiye, dekont ve ödeme durumunun uçtan uca izlenmesi.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Gösterimler: ATF No / Statü, Toplam Tutar, Ödenen / Kalan, 136 bakiye, Paycell kart bakiyesi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Aksiyonlar: Onaya gönder, ATF oluştur, Dekont görüntüle, Ödeme tetikle (onaylı), İade başlat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Filtreler: Kampanya, tarih aralığı, marka, bayi tipi, statü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Status machine (DRAFT → VALIDATED → PENDING_APPROVAL → ATF_CREATED → FUNDED → PAYING → RECONCILED → CLOSED)</w:t>
      </w:r>
    </w:p>
    <w:p>
      <w:pPr>
        <w:pStyle w:val="Heading2"/>
      </w:pPr>
      <w:r>
        <w:rPr>
          <w:color w:val="1F3A5F"/>
        </w:rPr>
        <w:t>4.3 Kart Mapping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Şirket (Turkcell/SOL) ve kampanya türüne göre kullanılacak NTS kartlarının eşleştirilmesi.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Alanlar: Şirket, Kampanya Türü / Marka, NTS Kart Ref (maskeli gösterim), Aktif mi, Geçerlilik tarihi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Kaynak: İş birimlerinden (Alp Nalbantoğlu / Gözde Benli) kurumsal kart listesi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XX_BOF_CARD_MAP; ATF öncesi bakiye sorgu bu mapping üzerinden yapılır</w:t>
      </w:r>
    </w:p>
    <w:p>
      <w:pPr>
        <w:pStyle w:val="Heading2"/>
      </w:pPr>
      <w:r>
        <w:rPr>
          <w:color w:val="1F3A5F"/>
        </w:rPr>
        <w:t>4.4 Onay ve Hiyerarşi Ekranı / Parametreleri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AME veya mevcut onay hiyerarşi kodları (PO şablonundaki ONAY_HIYERARSISI) kullanılır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Haftalık ödeme takvimi: Perşembe; Aralık’ta Salı-Perşembe (parametrik takvim tablosu)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Finans onaycısı: ATF sonrası / ödeme tetikleme öncesi ayrı onay adımı</w:t>
      </w:r>
    </w:p>
    <w:p>
      <w:pPr>
        <w:pStyle w:val="Heading2"/>
      </w:pPr>
      <w:r>
        <w:rPr>
          <w:color w:val="1F3A5F"/>
        </w:rPr>
        <w:t>4.5 Rapor Ekranları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Durum Raporu: personel bazlı başarılı/başarısız yükleme detayı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Muhasebe Mutabakat Raporu: 136 borç/alacak ve kalan bakiye; kart ve kampanya segment kırılımı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bazlı pivot çıktı (BI / Concurrent Excel)</w:t>
      </w:r>
    </w:p>
    <w:p>
      <w:pPr>
        <w:pStyle w:val="Heading1"/>
      </w:pPr>
      <w:r>
        <w:rPr>
          <w:color w:val="1F3A5F"/>
        </w:rPr>
        <w:t>5. Manuel PO Şablonu Analizi (Bilgi Amaçlı)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Satın alma ekiplerinin kullandığı “Copy of Manual_TDM_PO_Template.xlsx” dosyasının tüm sheetleri incelenmiştir. Otomatik PO üretimi bu alan modelini Oracle EBS API/interface katmanına taşıyacaktır.</w:t>
      </w:r>
    </w:p>
    <w:p>
      <w:pPr>
        <w:pStyle w:val="Heading2"/>
      </w:pPr>
      <w:r>
        <w:rPr>
          <w:color w:val="1F3A5F"/>
        </w:rPr>
        <w:t>5.1 Sheet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340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İçerik</w:t>
            </w:r>
          </w:p>
        </w:tc>
        <w:tc>
          <w:tcPr>
            <w:tcW w:type="dxa" w:w="311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Kullanım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 satır örnek PO satırı (10 kolon)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Asıl yükleme verisi; kolon adları değiştirilemez</w:t>
            </w:r>
          </w:p>
        </w:tc>
      </w:tr>
      <w:tr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Datası Oluşturma Bilgisi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Kolon sözlüğü ve kritik notlar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Entegrasyon field mapping referansı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 bayi tipi lookup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 validasyonu</w:t>
            </w:r>
          </w:p>
        </w:tc>
      </w:tr>
      <w:tr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Kanal bazlı onay zincirleri + kodlar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 seçimi</w:t>
            </w:r>
          </w:p>
        </w:tc>
      </w:tr>
    </w:tbl>
    <w:p/>
    <w:p>
      <w:pPr>
        <w:pStyle w:val="Heading2"/>
      </w:pPr>
      <w:r>
        <w:rPr>
          <w:color w:val="1F3A5F"/>
        </w:rPr>
        <w:t>5.2 Data Sheet — Kolon Sözlüğü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340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340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Örnek / Kural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INVOICE_GROUP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Muhasebe / invoice group segment string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01-136.01.01.01.01.003-0-0-KA52-...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CODE_COLLABORATEUR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Bayi kodu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00011.00062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AMOUNT_KDVSIZ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KDV’siz tutar; nokta ondalık; binlik ayracı yok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5100 / 6265.5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VENDOR_ID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vendor id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477311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VENDOR_SITE_ID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vendor site 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22663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Bayi tipi (Dealer_Type listesinden)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TIM, TDM, KÇM, ...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hiyerarşi kodu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339 (örnek datada); sheet’te 170–192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PO_NAME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adı (excelde tek isim olmalı)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TIM_OCAK 2026 Konsolide ...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EVENT_DATE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/ event tarihi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24.03.2026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COMMENT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detay açıklaması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/ karar notu</w:t>
            </w:r>
          </w:p>
        </w:tc>
      </w:tr>
    </w:tbl>
    <w:p/>
    <w:p>
      <w:pPr>
        <w:pStyle w:val="Heading2"/>
      </w:pPr>
      <w:r>
        <w:rPr>
          <w:color w:val="1F3A5F"/>
        </w:rPr>
        <w:t>5.3 Dealer_Type Lookup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FLAGSHIP, ALTERNATİF, ZİNCİR, TIM, KÇM, GLOBAL, MİGROS, DİSTRİBÜTÖR, TSN-YTSN, TDM, SEKTÖR DIŞI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Örnek Data sheet’inde 733 satırın tamamı DEALER_TYPE=TIM olarak gelmiştir. Sistemde bu liste değer seti (lookup) olarak tutulmalı; ERP’den vendor-bayi eşleşmesi bulunamazsa VENDOR_ID / VENDOR_SITE_ID BYS veya Oracle AP vendor master’dan tamamlanmalıdır.</w:t>
      </w:r>
    </w:p>
    <w:p>
      <w:pPr>
        <w:pStyle w:val="Heading2"/>
      </w:pPr>
      <w:r>
        <w:rPr>
          <w:color w:val="1F3A5F"/>
        </w:rPr>
        <w:t>5.4 Onay_Hiyerarsisi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Kod</w:t>
            </w:r>
          </w:p>
        </w:tc>
        <w:tc>
          <w:tcPr>
            <w:tcW w:type="dxa" w:w="340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Kanal / Grup</w:t>
            </w:r>
          </w:p>
        </w:tc>
        <w:tc>
          <w:tcPr>
            <w:tcW w:type="dxa" w:w="425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Onay Seviyeleri (özet)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PERAKENDE KANAL SOL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Pınar Alkaya Işık → Dinçer Dökümcü → Ruhan Taner → Kamil Erikan</w:t>
            </w:r>
          </w:p>
        </w:tc>
      </w:tr>
      <w:tr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171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YTSN KANAL SOL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Selma Eşgünoğlu → Filiz Güçlüer → Ruhan Taner → Kamil Erikan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TOPTAN KANAL MASS KAMPANYA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Cansu → Gül → Filiz → Ruhan → Sait</w:t>
            </w:r>
          </w:p>
        </w:tc>
      </w:tr>
      <w:tr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176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PERAKENDE KANAL MASS KAMPANYA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Cansu → Gül → Dinçer → Ruhan → Sait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177 / 181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BÖLGESEL YÖNETİM PERAKENDE / TOPTAN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kademeli</w:t>
            </w:r>
          </w:p>
        </w:tc>
      </w:tr>
      <w:tr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179 / 182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SAHA AKTİVİTE PERAKENDE / TOPTAN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Selda Yavuz başlangıçlı 5 kademe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186 / 187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MARMARA PERAKENDE / TOPTAN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Serhat Karadağ</w:t>
            </w:r>
          </w:p>
        </w:tc>
      </w:tr>
      <w:tr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188 / 190</w:t>
            </w:r>
          </w:p>
        </w:tc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KUZEY PERAKENDE / TOPTAN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Mert Arıkan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191 / 192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GÜNEY PERAKENDE / TOPTAN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Suat Topçu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Açık nokta: Örnek Data satırlarında ONAY_HIYERARSISI=339 kullanılmıştır; Onay_Hiyerarsisi sheet’inde 339 kodu yer almamaktadır. Mapping tablosuna eksik kodların (iş birimi + satın alma ile) eklenmesi gerekir.</w:t>
      </w:r>
    </w:p>
    <w:p>
      <w:pPr>
        <w:pStyle w:val="Heading2"/>
      </w:pPr>
      <w:r>
        <w:rPr>
          <w:color w:val="1F3A5F"/>
        </w:rPr>
        <w:t>5.5 Şablon Operasyon Kuralları (Mevcut Manuel Süreç)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Dosya ve kolon isimleri kesinlikle değiştirilmemeli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Manual template dosyası “Atilacaklar” klasörüne TAŞINMALI (kopyalanmamalı)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PO_NAME alanı excelde tek isim olmalı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AMOUNT_KDVSIZ kesir ayracı nokta; küsürat ayracı kullanılmaz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Otomasyonda bu kurallar: interface tablo kolon adları sabit tutulacak; dosya taşıma yerine Oracle Purchasing PO Create API / custom concurrent ile doğrudan PO header-line üretilecek.</w:t>
      </w:r>
    </w:p>
    <w:p>
      <w:pPr>
        <w:pStyle w:val="Heading2"/>
      </w:pPr>
      <w:r>
        <w:rPr>
          <w:color w:val="1F3A5F"/>
        </w:rPr>
        <w:t>5.6 Örnek Veri Profili (Template Snapshot)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566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Satır sayısı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</w:t>
            </w:r>
          </w:p>
        </w:tc>
      </w:tr>
      <w:tr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Benzersiz bayi kodu</w:t>
            </w:r>
          </w:p>
        </w:tc>
        <w:tc>
          <w:tcPr>
            <w:tcW w:type="dxa" w:w="56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Benzersiz VENDOR_ID / SITE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273 / 273</w:t>
            </w:r>
          </w:p>
        </w:tc>
      </w:tr>
      <w:tr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 type</w:t>
            </w:r>
          </w:p>
        </w:tc>
        <w:tc>
          <w:tcPr>
            <w:tcW w:type="dxa" w:w="56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 (%100)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hiyerarşisi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339 (tüm satırlar)</w:t>
            </w:r>
          </w:p>
        </w:tc>
      </w:tr>
      <w:tr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Invoice group</w:t>
            </w:r>
          </w:p>
        </w:tc>
        <w:tc>
          <w:tcPr>
            <w:tcW w:type="dxa" w:w="56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Tek grup (136…KA52…)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Tutar toplamı (KDV’siz)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5.488.509,00</w:t>
            </w:r>
          </w:p>
        </w:tc>
      </w:tr>
      <w:tr>
        <w:tc>
          <w:tcPr>
            <w:tcW w:type="dxa" w:w="340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 / Max tutar</w:t>
            </w:r>
          </w:p>
        </w:tc>
        <w:tc>
          <w:tcPr>
            <w:tcW w:type="dxa" w:w="56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/ 46.302,50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Not: Min tutar 0 görülen satırlar validasyon kuralında (tutar &gt; 0) reddedilmeli veya iş kuralına göre ayrıştırılmalıdır.</w:t>
      </w:r>
    </w:p>
    <w:p>
      <w:pPr>
        <w:pStyle w:val="Heading1"/>
      </w:pPr>
      <w:r>
        <w:rPr>
          <w:color w:val="1F3A5F"/>
        </w:rPr>
        <w:t>6. Fonksiyonel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İş Servisi</w:t>
            </w:r>
          </w:p>
        </w:tc>
        <w:tc>
          <w:tcPr>
            <w:tcW w:type="dxa" w:w="1417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</w:t>
            </w:r>
          </w:p>
        </w:tc>
        <w:tc>
          <w:tcPr>
            <w:tcW w:type="dxa" w:w="2551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Özet</w:t>
            </w:r>
          </w:p>
        </w:tc>
        <w:tc>
          <w:tcPr>
            <w:tcW w:type="dxa" w:w="2551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Kabul Kriteri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Doğrulama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BYS/IDM aktiflik + bayi kod eşleşmesi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Pasif personel ödeme kuyruğuna girmez</w:t>
            </w:r>
          </w:p>
        </w:tc>
      </w:tr>
      <w:tr>
        <w:tc>
          <w:tcPr>
            <w:tcW w:type="dxa" w:w="56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Kart/KYC</w:t>
            </w:r>
          </w:p>
        </w:tc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TCKN bazlı aktif kart + KYC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KYC’siz kayıt uyarı + blok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ATF/PO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Marka ATF + bayi PO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Onaylı tutar = ATF; bayi kırılımı = PO</w:t>
            </w:r>
          </w:p>
        </w:tc>
      </w:tr>
      <w:tr>
        <w:tc>
          <w:tcPr>
            <w:tcW w:type="dxa" w:w="56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Bilgilendirme</w:t>
            </w:r>
          </w:p>
        </w:tc>
        <w:tc>
          <w:tcPr>
            <w:tcW w:type="dxa" w:w="1417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Bildirim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+ BiP/SMS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Format: Ekip Adı: Kampanya Adı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Kapatma &amp; İade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Finansal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Ödenemeyen iade + 136 sıfırlama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kapanışında 136 bakiye 0</w:t>
            </w:r>
          </w:p>
        </w:tc>
      </w:tr>
    </w:tbl>
    <w:p/>
    <w:p>
      <w:pPr>
        <w:pStyle w:val="Heading1"/>
      </w:pPr>
      <w:r>
        <w:rPr>
          <w:color w:val="1F3A5F"/>
        </w:rPr>
        <w:t>7. Teknik Tasarım Detayları</w:t>
      </w:r>
    </w:p>
    <w:p>
      <w:pPr>
        <w:pStyle w:val="Heading2"/>
      </w:pPr>
      <w:r>
        <w:rPr>
          <w:color w:val="1F3A5F"/>
        </w:rPr>
        <w:t>7.1 Önerilen Veri Modeli (Oracle EBS Custom Schema)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Tablo</w:t>
            </w:r>
          </w:p>
        </w:tc>
        <w:tc>
          <w:tcPr>
            <w:tcW w:type="dxa" w:w="2551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Amaç</w:t>
            </w:r>
          </w:p>
        </w:tc>
        <w:tc>
          <w:tcPr>
            <w:tcW w:type="dxa" w:w="425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Kritik Alanlar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XX_BOF_CAMPAIGN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master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campaign_id, name, brand, team_name, event_date, status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XX_BOF_HAKEDIS_HDR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başlık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header_id, campaign_id, file_name, loaded_by, load_date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XX_BOF_HAKEDIS_LN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satırları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gsm, tckn, amount, dealer_code, validation_status, pay_status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XX_BOF_CARD_MAP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 eşleştirme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company, campaign_type, card_token, masked_pan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XX_BOF_ATF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kayıtları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atf_number, amount, gl_date, status, payment_group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XX_BOF_PO_IFACE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interface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Manual template ile birebir kolonlar + process_flag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XX_BOF_RECON_136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mutabakat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debit, credit, remaining, debit_memo_flag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XX_BOF_PAY_LOG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çağrı log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request/response, correlation_id, http_status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XX_BOF_HIERARCHY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kod mapping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hierarchy_code, channel_name, level_n approver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XX_BOF_CALENDAR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Ödeme takvimi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week_day, special_december_flag</w:t>
            </w:r>
          </w:p>
        </w:tc>
      </w:tr>
    </w:tbl>
    <w:p/>
    <w:p>
      <w:pPr>
        <w:pStyle w:val="Heading2"/>
      </w:pPr>
      <w:r>
        <w:rPr>
          <w:color w:val="1F3A5F"/>
        </w:rPr>
        <w:t>7.2 136 Hesap Mantığı (Muhasebe)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 tutarı → 136 hesaba borç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Paycell’den başarılı ödeme listesi kadar bayi bazlı fatura/dekont → 136 alacak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Kalan tutar → eksi dekont ile 136 kapatma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sonu NTS kalan bakiye → Turkcell hesaplarına otomatik iade (Paycell iade servisi)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Segment detayları Ayşim Tuncer’den (kart bazlı + kampanya bazlı) alınacak; INVOICE_GROUP string’i buna göre üretilecek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Örnek invoice group (şablondan): 01-136.01.01.01.01.003-0-0-KA52-0-0-0-0-0-0-0-0-0-0</w:t>
      </w:r>
    </w:p>
    <w:p>
      <w:pPr>
        <w:pStyle w:val="Heading2"/>
      </w:pPr>
      <w:r>
        <w:rPr>
          <w:color w:val="1F3A5F"/>
        </w:rPr>
        <w:t>7.3 ATF ve PO Otomasyonu (Oracle EBS)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Ayrı bir ödeme grubu (payment group / batch source) tanımlanır — diğer AP akışlarından izole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ATF: marka/kampanya bazlı tek (veya marka kırılımlı) ödeme belgesi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PO: bayi (VENDOR_ID + VENDOR_SITE_ID + CODE_COLLABORATEUR) bazında satır/header üretimi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Kaynak mapping: XX_BOF_PO_IFACE ← Manual TDM PO Template kolonları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adayları: PO_HEADERS_INTERFACE / PO_LINES_INTERFACE + Purchasing Import Concurrent; veya custom wrapper package XXBOF_PO_PKG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Onay: ONAY_HIYERARSISI kodu AME attribute / existing hierarchy’ye map edilir</w:t>
      </w:r>
    </w:p>
    <w:p>
      <w:pPr>
        <w:pStyle w:val="Heading2"/>
      </w:pPr>
      <w:r>
        <w:rPr>
          <w:color w:val="1F3A5F"/>
        </w:rPr>
        <w:t>7.4 Paycell Entegrasyon Servisleri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Servis</w:t>
            </w:r>
          </w:p>
        </w:tc>
        <w:tc>
          <w:tcPr>
            <w:tcW w:type="dxa" w:w="1984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 Zaman</w:t>
            </w:r>
          </w:p>
        </w:tc>
        <w:tc>
          <w:tcPr>
            <w:tcW w:type="dxa" w:w="1984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Girdi</w:t>
            </w:r>
          </w:p>
        </w:tc>
        <w:tc>
          <w:tcPr>
            <w:tcW w:type="dxa" w:w="2835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Çıktı / Etki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Kart / KYC sorgu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sonrası validasyon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TCKN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Uygunluk flag; sorunlu satır raporu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TabGetBalance (veya eşdeğeri)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öncesi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 ref</w:t>
            </w:r>
          </w:p>
        </w:tc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Güncel bakiye; yetersizse uyarı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Toplu yükleme / fund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onay sonrası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tutarı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karta bakiye aktarımı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Bireysel ödeme tetik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sonrası + onay</w:t>
            </w:r>
          </w:p>
        </w:tc>
        <w:tc>
          <w:tcPr>
            <w:tcW w:type="dxa" w:w="1984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listesi</w:t>
            </w:r>
          </w:p>
        </w:tc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Kartlara dağıtım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iade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Kalan bakiye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Turkcell hesabına iade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Teknik notlar: timeout/retry politikası, idempotency key (campaign_id + tckn + amount + event_date), PII maskeleme (TCKN/kart log’larda maskeli), audit trail zorunlu.</w:t>
      </w:r>
    </w:p>
    <w:p>
      <w:pPr>
        <w:pStyle w:val="Heading2"/>
      </w:pPr>
      <w:r>
        <w:rPr>
          <w:color w:val="1F3A5F"/>
        </w:rPr>
        <w:t>7.5 BYS / IDM Entegrasyonu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Personel aktif mi? (IDM/BYS)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Bayi kodu (CODE_COLLABORATEUR) eşleşiyor mu?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Vendor/site eksikse ERP AP vendor master tamamlaması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Ön görüşme: Adnan Yılmaz (BYS)</w:t>
      </w:r>
    </w:p>
    <w:p>
      <w:pPr>
        <w:pStyle w:val="Heading2"/>
      </w:pPr>
      <w:r>
        <w:rPr>
          <w:color w:val="1F3A5F"/>
        </w:rPr>
        <w:t>7.6 Bildirim Motoru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Şablon: “{Ekip Adı}: {Kampanya Adı}”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Kanal: BiP ve/veya SMS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İçerikte maskeli kart bilgisi; açık PAN yasak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Tetik: ödeme başarılı / başarısız / iade</w:t>
      </w:r>
    </w:p>
    <w:p>
      <w:pPr>
        <w:pStyle w:val="Heading2"/>
      </w:pPr>
      <w:r>
        <w:rPr>
          <w:color w:val="1F3A5F"/>
        </w:rPr>
        <w:t>7.7 Concurrent Program / Job Tasarımı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Program</w:t>
            </w:r>
          </w:p>
        </w:tc>
        <w:tc>
          <w:tcPr>
            <w:tcW w:type="dxa" w:w="2551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Tetik</w:t>
            </w:r>
          </w:p>
        </w:tc>
        <w:tc>
          <w:tcPr>
            <w:tcW w:type="dxa" w:w="4252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XXBOF_VALIDATE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sonrası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BYS/IDM + Paycell KYC + mükerrer kontrol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XXBOF_CREATE_ATF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 onayı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+ 136 borç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XXBOF_IMPORT_PO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onay / paralel kural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interface → Purchasing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XXBOF_POLL_DEKONT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Zamanlanmış (Cashstation)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geldi mi kontrol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XXBOF_TRIGGER_PAY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+ onay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bireysel ödeme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XXBOF_RECON_136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Ödeme sonuçları sonrası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Alacak + eksi dekont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XXBOF_REFUND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kalan iade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XXBOF_NOTIFY</w:t>
            </w:r>
          </w:p>
        </w:tc>
        <w:tc>
          <w:tcPr>
            <w:tcW w:type="dxa" w:w="2551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 bazlı</w:t>
            </w:r>
          </w:p>
        </w:tc>
        <w:tc>
          <w:tcPr>
            <w:tcW w:type="dxa" w:w="4252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BiP/SMS gönderimi</w:t>
            </w:r>
          </w:p>
        </w:tc>
      </w:tr>
    </w:tbl>
    <w:p/>
    <w:p>
      <w:pPr>
        <w:pStyle w:val="Heading2"/>
      </w:pPr>
      <w:r>
        <w:rPr>
          <w:color w:val="1F3A5F"/>
        </w:rPr>
        <w:t>7.8 Güvenlik ve Uyum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Maskeli kart numarası gönderimi (AD Checklist — Bilgi Güvenliği: Dolduruldu)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TCKN ve kart verisi encryption-at-rest / role based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EBS responsibility ayrımı: Yükleyici / Onaycı / Muhasebe / 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Vergi uyumu: PO açılış zamanlaması mevcut faturalama düzenini bozmamalı</w:t>
      </w:r>
    </w:p>
    <w:p>
      <w:pPr>
        <w:pStyle w:val="Heading1"/>
      </w:pPr>
      <w:r>
        <w:rPr>
          <w:color w:val="1F3A5F"/>
        </w:rPr>
        <w:t>8. Proje Fazları ve İş Kırılımı (WBS)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Fazlar ardışık bağımlılıklarla ilerler; her fazın çıkış kriteri bir sonraki faza giriş koşuludur. Takvim günü tahmini verilmemiştir; kapsam teknik bileşen büyüklüğü ile ifade edilmiştir.</w:t>
      </w:r>
    </w:p>
    <w:p>
      <w:pPr>
        <w:pStyle w:val="Heading2"/>
      </w:pPr>
      <w:r>
        <w:rPr>
          <w:color w:val="1F3A5F"/>
        </w:rPr>
        <w:t>Faz 0 — Keşif ve Netleştirme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dekont otomasyonu fizibilitesi (Sarper Bey)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BYS veri erişim modeli (Adnan Yılmaz)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 servis kontratları: balance, pay, refund (Serhat Mercan / PSR)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Onay hiyerarşi kodlarının tam listesi (339 ve eksikler) — iş birimleri + satın alma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segment dictionary (Ayşim Tuncer)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Haftalık nakit akış onayı (Cüneyt Bey / Kamil Bey) ve Aralık çift gün takvimi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Entegrasyon sözleşmeleri + alan mapping onaylı</w:t>
      </w:r>
    </w:p>
    <w:p>
      <w:pPr>
        <w:pStyle w:val="Heading2"/>
      </w:pPr>
      <w:r>
        <w:rPr>
          <w:color w:val="1F3A5F"/>
        </w:rPr>
        <w:t>Faz 1 — Oracle EBS Temel Altyapı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tablolar, sequence, index, audit kolonları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Lookup’lar: Dealer_Type, Hierarchy, Brand,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Hakediş Yükleme ekranı + staging + validasyon framework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Kart Mapping ekranı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Liste yüklenebilir; validasyon raporu üretilir (Paycell/BYS mock ile)</w:t>
      </w:r>
    </w:p>
    <w:p>
      <w:pPr>
        <w:pStyle w:val="Heading2"/>
      </w:pPr>
      <w:r>
        <w:rPr>
          <w:color w:val="1F3A5F"/>
        </w:rPr>
        <w:t>Faz 2 — ATF / PO / 136 Motoru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 oluşturma + ayrı payment group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interface (Manual template field-parity) + Purchasing import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borç / alacak / eksi dekont muhasebe paketleri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Süreç Takip ekranı (statü makinesi)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UAT ortamında örnek kampanya ile ATF+PO+136 borç oluşur</w:t>
      </w:r>
    </w:p>
    <w:p>
      <w:pPr>
        <w:pStyle w:val="Heading2"/>
      </w:pPr>
      <w:r>
        <w:rPr>
          <w:color w:val="1F3A5F"/>
        </w:rPr>
        <w:t>Faz 3 — Paycell &amp; Dekont Entegrasyonu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KYC/kart, balance, fund, pay, refund servis client’ları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veya manuel dekont fallback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tetikleme onay mekanizması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Dekont sonrası uçtan uca ödeme happy-path</w:t>
      </w:r>
    </w:p>
    <w:p>
      <w:pPr>
        <w:pStyle w:val="Heading2"/>
      </w:pPr>
      <w:r>
        <w:rPr>
          <w:color w:val="1F3A5F"/>
        </w:rPr>
        <w:t>Faz 4 — Bildirim, Rapor, Mutabakat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BiP/SMS motoru ve açıklama standardı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durum + 136 mutabakat + kampanya pivot raporları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Kapanış/iade otomatizasyonu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Kampanya kapanışında 136 = 0 ve iade kanıtı</w:t>
      </w:r>
    </w:p>
    <w:p>
      <w:pPr>
        <w:pStyle w:val="Heading2"/>
      </w:pPr>
      <w:r>
        <w:rPr>
          <w:color w:val="1F3A5F"/>
        </w:rPr>
        <w:t>Faz 5 — UAT, Eğitim, Canlıya Geçiş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Senaryo bazlı UAT (TIM örnek data seti ile regression)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Kullanıcı eğitimi (Satış, Finans, Muhasebe)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Cutover: paralel koşu (manuel template vs otomatik) bir ödeme döneminde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Hypercare ve CFP güncelleme</w:t>
      </w:r>
    </w:p>
    <w:p>
      <w:pPr>
        <w:pStyle w:val="Heading1"/>
      </w:pPr>
      <w:r>
        <w:rPr>
          <w:color w:val="1F3A5F"/>
        </w:rPr>
        <w:t>9. Rol ve Sorumluluklar (RACI Özeti)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Kişi / Birim</w:t>
            </w:r>
          </w:p>
        </w:tc>
        <w:tc>
          <w:tcPr>
            <w:tcW w:type="dxa" w:w="6236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Sorumluluk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Barbaros Songur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Analiz, teknik tasarım, EBS ekran vizyonu, PO şablon entegrasyonu, BYS ön görüşme, Cashstation netleştirme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Serhat Mercan (Paycell/PSR)</w:t>
            </w:r>
          </w:p>
        </w:tc>
        <w:tc>
          <w:tcPr>
            <w:tcW w:type="dxa" w:w="62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İade servisi, TabGetBalance, ödeme tetik onay mekanizması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Emine Binal Kopuz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Haftalık ödeme onayı, vergi/hukuk, Aralık takvimi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Alp Nalbantoğlu / Gözde Benli</w:t>
            </w:r>
          </w:p>
        </w:tc>
        <w:tc>
          <w:tcPr>
            <w:tcW w:type="dxa" w:w="62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Açıklama standardı, kart mapping, Oracle onay hiyerarşi kodları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Ayşim Tuncer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hesap segment / mutabakat detayları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Tolgay Bey / Satın Alma</w:t>
            </w:r>
          </w:p>
        </w:tc>
        <w:tc>
          <w:tcPr>
            <w:tcW w:type="dxa" w:w="62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Manuel PO template sahipliği ve alan doğrulama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Adnan Yılmaz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 personel-bayi veri erişimi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Sarper Bey</w:t>
            </w:r>
          </w:p>
        </w:tc>
        <w:tc>
          <w:tcPr>
            <w:tcW w:type="dxa" w:w="62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 dekont otomasyonu</w:t>
            </w:r>
          </w:p>
        </w:tc>
      </w:tr>
    </w:tbl>
    <w:p/>
    <w:p>
      <w:pPr>
        <w:pStyle w:val="Heading1"/>
      </w:pPr>
      <w:r>
        <w:rPr>
          <w:color w:val="1F3A5F"/>
        </w:rPr>
        <w:t>10. Test Stratejisi</w:t>
      </w:r>
    </w:p>
    <w:p>
      <w:pPr>
        <w:pStyle w:val="Heading2"/>
      </w:pPr>
      <w:r>
        <w:rPr>
          <w:color w:val="1F3A5F"/>
        </w:rPr>
        <w:t>10.1 Test Türleri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Birim: validasyon kuralları, tutar aggregasyonu, invoice group builder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Entegrasyon: BYS/IDM, Paycell (sandbox), PO import, GL 136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Uçtan uca: yükleme → ATF → fund → dekont → ödeme → mutabakat → iade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Negatif: KYC fail, mükerrer kayıt, tutar 0, eksik vendor site, dekont gecikmesi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Güvenlik: maskeleme, yetki matrisi, log’da PII kontrolü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Regresyon: mevcut Manual TDM PO Template ile üretilen PO alan parity karşılaştırması</w:t>
      </w:r>
    </w:p>
    <w:p>
      <w:pPr>
        <w:pStyle w:val="Heading2"/>
      </w:pPr>
      <w:r>
        <w:rPr>
          <w:color w:val="1F3A5F"/>
        </w:rPr>
        <w:t>10.2 Örnek Uçtan Uca Senaryo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Girdi: TIM_OCAK 2026 örnek setinden örneklenmiş N satır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Beklenen: tek ATF (marka), N bayi PO/satır, 136 borç = toplam, ödemeler sonrası kalan için eksi dekont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Bildirim: başarılı personele maskeli kart + standart açıklama</w:t>
      </w:r>
    </w:p>
    <w:p>
      <w:pPr>
        <w:pStyle w:val="Heading1"/>
      </w:pPr>
      <w:r>
        <w:rPr>
          <w:color w:val="1F3A5F"/>
        </w:rPr>
        <w:t>11. Riskler, Bağımlılıklar ve Açık Konular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Risk / Açık Konu</w:t>
            </w:r>
          </w:p>
        </w:tc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Etki</w:t>
            </w:r>
          </w:p>
        </w:tc>
        <w:tc>
          <w:tcPr>
            <w:tcW w:type="dxa" w:w="396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Aksiyon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 otomasyonu belirsiz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adımı manuel kalabilir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Faz 0 fizibilite; fallback ekranı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kodu 339 şablonda yok</w:t>
            </w:r>
          </w:p>
        </w:tc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onay yanlış map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 birimi + satın alma ile kod seti güncelle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iade servisi hazır değil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kapanış tamamlanamaz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PSR sprint planına al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 site eksik bayi</w:t>
            </w:r>
          </w:p>
        </w:tc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create fail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ERP’den otomatik enrichment + hata kuyruğu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Yıl sonu çift ödeme günü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Takvim çakışması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XX_BOF_CALENDAR parametresi</w:t>
            </w:r>
          </w:p>
        </w:tc>
      </w:tr>
      <w:tr>
        <w:tc>
          <w:tcPr>
            <w:tcW w:type="dxa" w:w="283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Tutar 0 satırlar</w:t>
            </w:r>
          </w:p>
        </w:tc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Hatalı PO/ATF</w:t>
            </w:r>
          </w:p>
        </w:tc>
        <w:tc>
          <w:tcPr>
            <w:tcW w:type="dxa" w:w="396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Validasyon kuralı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PII / kart verisi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BG ihlali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Maskeleme + encryption + responsibility</w:t>
            </w:r>
          </w:p>
        </w:tc>
      </w:tr>
    </w:tbl>
    <w:p/>
    <w:p>
      <w:pPr>
        <w:pStyle w:val="Heading1"/>
      </w:pPr>
      <w:r>
        <w:rPr>
          <w:color w:val="1F3A5F"/>
        </w:rPr>
        <w:t>12. AD Checklist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Kapsam</w:t>
            </w:r>
          </w:p>
        </w:tc>
        <w:tc>
          <w:tcPr>
            <w:tcW w:type="dxa" w:w="3118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Checklist</w:t>
            </w:r>
          </w:p>
        </w:tc>
        <w:tc>
          <w:tcPr>
            <w:tcW w:type="dxa" w:w="3685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 / Muhasebe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Hesap ve Vergi Uyumu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 (yıl sonu hızlandırılmış takvim dahil)</w:t>
            </w:r>
          </w:p>
        </w:tc>
      </w:tr>
      <w:tr>
        <w:tc>
          <w:tcPr>
            <w:tcW w:type="dxa" w:w="226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Bilgi Güvenliği</w:t>
            </w:r>
          </w:p>
        </w:tc>
        <w:tc>
          <w:tcPr>
            <w:tcW w:type="dxa" w:w="3118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ve Veri Gizliliği</w:t>
            </w:r>
          </w:p>
        </w:tc>
        <w:tc>
          <w:tcPr>
            <w:tcW w:type="dxa" w:w="3685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 Zekası / Raporlama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Bazlı Pivot Raporlar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</w:t>
            </w:r>
          </w:p>
        </w:tc>
      </w:tr>
    </w:tbl>
    <w:p/>
    <w:p>
      <w:pPr>
        <w:pStyle w:val="Heading1"/>
      </w:pPr>
      <w:r>
        <w:rPr>
          <w:color w:val="1F3A5F"/>
        </w:rPr>
        <w:t>13. Teslimatlar (Deliverables)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 Proje Planı ve Teknik Tasarım Dokümanı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Süreç akış şeması ve ekran vizyon sunumu (Barbaros Songur)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Entegrasyon mapping dokümanı (PO template ↔ EBS interface ↔ Paycell)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ekranları + concurrent paketleri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UAT test senaryoları ve sonuç tutanağı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Canlıya geçiş / rollback planı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CFP toplamları (teknik geliştirme aşamasında doldurulacak)</w:t>
      </w:r>
    </w:p>
    <w:p>
      <w:pPr>
        <w:pStyle w:val="Heading1"/>
      </w:pPr>
      <w:r>
        <w:rPr>
          <w:color w:val="1F3A5F"/>
        </w:rPr>
        <w:t>14. Sonuç ve Sonraki Adımlar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Proje, Oracle EBS merkezli hakediş ekranları ile Paycell/BYS/IDM entegrasyonunu birleştirerek kampanya ödemelerini uçtan uca otomatize etmeyi hedefler. Manuel TDM PO Template alan modeli otomatik PO üretiminin referans sözleşmesidir; kolon isimleri ve iş kuralları korunacaktır.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Öncelikli sonraki adımlar: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Faz 0 bağımlılıklarını kapat (Cashstation, BYS, Paycell kontrat, hiyerarşi 339, 136 segment)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Ekran wireframe / vizyon sunumunu paydaş onayına çıkar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XX_BOF_* veri modeli ve PO interface DDL taslağını review’a aç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 örnek dataset ile sandboxed uçtan uca prototip</w:t>
      </w:r>
    </w:p>
    <w:p/>
    <w:p>
      <w:pPr>
        <w:jc w:val="center"/>
      </w:pPr>
      <w:r>
        <w:rPr>
          <w:rFonts w:ascii="Calibri" w:hAnsi="Calibri" w:eastAsia="Calibri"/>
          <w:b w:val="0"/>
          <w:color w:val="888888"/>
          <w:sz w:val="20"/>
        </w:rPr>
        <w:t>— Doküman Sonu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