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B2A3B"/>
          <w:sz w:val="38"/>
          <w:szCs w:val="38"/>
        </w:rPr>
        <w:t xml:space="preserve">SOC ANALYST SIMULATION</w:t>
      </w:r>
    </w:p>
    <w:p>
      <w:pPr>
        <w:spacing w:after="80" w:before="0"/>
        <w:jc w:val="center"/>
      </w:pPr>
      <w:r>
        <w:rPr>
          <w:rFonts w:ascii="Arial" w:cs="Arial" w:eastAsia="Arial" w:hAnsi="Arial"/>
          <w:b/>
          <w:bCs/>
          <w:color w:val="2E8B4A"/>
          <w:sz w:val="26"/>
          <w:szCs w:val="26"/>
        </w:rPr>
        <w:t xml:space="preserve">Security Alert Triage &amp; Incident Investigation</w:t>
      </w:r>
    </w:p>
    <w:p>
      <w:pPr>
        <w:pBdr>
          <w:bottom w:val="single" w:color="2E8B4A" w:sz="8" w:space="6"/>
        </w:pBdr>
        <w:spacing w:after="40" w:before="0"/>
        <w:jc w:val="center"/>
      </w:pPr>
      <w:r>
        <w:rPr>
          <w:rFonts w:ascii="Arial" w:cs="Arial" w:eastAsia="Arial" w:hAnsi="Arial"/>
          <w:i/>
          <w:iCs/>
          <w:color w:val="888888"/>
          <w:sz w:val="19"/>
          <w:szCs w:val="19"/>
        </w:rPr>
        <w:t xml:space="preserve">Portfolio Documentation  |  Analyst: zenmier30  |  Scenario Result: 1st Place — 170 pts</w:t>
      </w:r>
    </w:p>
    <w:p>
      <w:pPr>
        <w:spacing w:after="0" w:before="260"/>
      </w:pPr>
      <w:r>
        <w:t xml:space="preserve"/>
      </w:r>
    </w:p>
    <w:p>
      <w:pPr>
        <w:pBdr>
          <w:bottom w:val="single" w:color="2E8B4A" w:sz="6" w:space="4"/>
        </w:pBdr>
        <w:spacing w:after="120" w:before="300"/>
      </w:pPr>
      <w:r>
        <w:rPr>
          <w:rFonts w:ascii="Arial" w:cs="Arial" w:eastAsia="Arial" w:hAnsi="Arial"/>
          <w:b/>
          <w:bCs/>
          <w:color w:val="1B2A3B"/>
          <w:sz w:val="28"/>
          <w:szCs w:val="28"/>
        </w:rPr>
        <w:t xml:space="preserve">1.  Exercise Overview</w:t>
      </w:r>
    </w:p>
    <w:p>
      <w:pPr>
        <w:spacing w:after="60" w:before="60"/>
      </w:pPr>
      <w:r>
        <w:rPr>
          <w:rFonts w:ascii="Arial" w:cs="Arial" w:eastAsia="Arial" w:hAnsi="Arial"/>
          <w:b w:val="false"/>
          <w:bCs w:val="false"/>
          <w:i w:val="false"/>
          <w:iCs w:val="false"/>
          <w:color w:val="333333"/>
          <w:sz w:val="21"/>
          <w:szCs w:val="21"/>
        </w:rPr>
        <w:t xml:space="preserve">This scenario simulates a standard alert triage workflow within a Security Operations Center (SOC) environment. The objective was to process a queue of five security alerts, perform triage on each event, determine the correct classification (true positive or false positive), and produce written investigation reports documenting findings and rationale.</w:t>
      </w:r>
    </w:p>
    <w:p>
      <w:pPr>
        <w:spacing w:after="0" w:before="80"/>
      </w:pPr>
      <w:r>
        <w:t xml:space="preserve"/>
      </w:r>
    </w:p>
    <w:p>
      <w:pPr>
        <w:spacing w:after="60" w:before="60"/>
      </w:pPr>
      <w:r>
        <w:rPr>
          <w:rFonts w:ascii="Arial" w:cs="Arial" w:eastAsia="Arial" w:hAnsi="Arial"/>
          <w:b w:val="false"/>
          <w:bCs w:val="false"/>
          <w:i w:val="false"/>
          <w:iCs w:val="false"/>
          <w:color w:val="333333"/>
          <w:sz w:val="21"/>
          <w:szCs w:val="21"/>
        </w:rPr>
        <w:t xml:space="preserve">Alert types covered in this scenario:</w:t>
      </w:r>
    </w:p>
    <w:p>
      <w:pPr>
        <w:pStyle w:val="ListParagraph"/>
        <w:numPr>
          <w:ilvl w:val="0"/>
          <w:numId w:val="2"/>
        </w:numPr>
        <w:spacing w:after="60" w:before="60"/>
      </w:pPr>
      <w:r>
        <w:rPr>
          <w:rFonts w:ascii="Arial" w:cs="Arial" w:eastAsia="Arial" w:hAnsi="Arial"/>
          <w:color w:val="333333"/>
          <w:sz w:val="21"/>
          <w:szCs w:val="21"/>
        </w:rPr>
        <w:t xml:space="preserve">Firewall-blocked outbound connection to a blacklisted external host</w:t>
      </w:r>
    </w:p>
    <w:p>
      <w:pPr>
        <w:pStyle w:val="ListParagraph"/>
        <w:numPr>
          <w:ilvl w:val="0"/>
          <w:numId w:val="2"/>
        </w:numPr>
        <w:spacing w:after="60" w:before="60"/>
      </w:pPr>
      <w:r>
        <w:rPr>
          <w:rFonts w:ascii="Arial" w:cs="Arial" w:eastAsia="Arial" w:hAnsi="Arial"/>
          <w:color w:val="333333"/>
          <w:sz w:val="21"/>
          <w:szCs w:val="21"/>
        </w:rPr>
        <w:t xml:space="preserve">Inbound phishing emails containing suspicious external hyperlinks (multiple instances)</w:t>
      </w:r>
    </w:p>
    <w:p>
      <w:pPr>
        <w:spacing w:after="0" w:before="80"/>
      </w:pPr>
      <w:r>
        <w:t xml:space="preserve"/>
      </w:r>
    </w:p>
    <w:p>
      <w:pPr>
        <w:spacing w:after="60" w:before="60"/>
      </w:pPr>
      <w:r>
        <w:rPr>
          <w:rFonts w:ascii="Arial" w:cs="Arial" w:eastAsia="Arial" w:hAnsi="Arial"/>
          <w:b w:val="false"/>
          <w:bCs w:val="false"/>
          <w:i w:val="false"/>
          <w:iCs w:val="false"/>
          <w:color w:val="333333"/>
          <w:sz w:val="21"/>
          <w:szCs w:val="21"/>
        </w:rPr>
        <w:t xml:space="preserve">Scope: 5 alerts  |  Scenario duration: 90 minutes  |  MTTR: 19 minutes  |  Final ranking: 1st place</w:t>
      </w:r>
    </w:p>
    <w:p>
      <w:pPr>
        <w:spacing w:after="0" w:before="200"/>
      </w:pPr>
      <w:r>
        <w:t xml:space="preserve"/>
      </w:r>
    </w:p>
    <w:p>
      <w:pPr>
        <w:pBdr>
          <w:bottom w:val="single" w:color="2E8B4A" w:sz="6" w:space="4"/>
        </w:pBdr>
        <w:spacing w:after="120" w:before="300"/>
      </w:pPr>
      <w:r>
        <w:rPr>
          <w:rFonts w:ascii="Arial" w:cs="Arial" w:eastAsia="Arial" w:hAnsi="Arial"/>
          <w:b/>
          <w:bCs/>
          <w:color w:val="1B2A3B"/>
          <w:sz w:val="28"/>
          <w:szCs w:val="28"/>
        </w:rPr>
        <w:t xml:space="preserve">2.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Closed Alerts</w:t>
            </w:r>
          </w:p>
        </w:tc>
        <w:tc>
          <w:tcPr>
            <w:tcW w:type="dxa" w:w="234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MTTR</w:t>
            </w:r>
          </w:p>
        </w:tc>
        <w:tc>
          <w:tcPr>
            <w:tcW w:type="dxa" w:w="234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Mean Dwell Time</w:t>
            </w:r>
          </w:p>
        </w:tc>
        <w:tc>
          <w:tcPr>
            <w:tcW w:type="dxa" w:w="234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Final Score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B2A3B"/>
                <w:sz w:val="20"/>
                <w:szCs w:val="20"/>
              </w:rPr>
              <w:t xml:space="preserve">5 / 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B2A3B"/>
                <w:sz w:val="20"/>
                <w:szCs w:val="20"/>
              </w:rPr>
              <w:t xml:space="preserve">19 minutes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B2A3B"/>
                <w:sz w:val="20"/>
                <w:szCs w:val="20"/>
              </w:rPr>
              <w:t xml:space="preserve">90 minutes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4A"/>
                <w:sz w:val="20"/>
                <w:szCs w:val="20"/>
              </w:rPr>
              <w:t xml:space="preserve">170 pts  |  Rank #1</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True Positive Identification Rate</w:t>
            </w:r>
          </w:p>
        </w:tc>
        <w:tc>
          <w:tcPr>
            <w:tcW w:type="dxa" w:w="468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False Positive Identification Rate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4A"/>
                <w:sz w:val="20"/>
                <w:szCs w:val="20"/>
              </w:rPr>
              <w:t xml:space="preserve">100%  —  3/3 malicious alerts correctly escalated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4A"/>
                <w:sz w:val="20"/>
                <w:szCs w:val="20"/>
              </w:rPr>
              <w:t xml:space="preserve">100%  —  2/2 benign alerts correctly closed</w:t>
            </w:r>
          </w:p>
        </w:tc>
      </w:tr>
    </w:tbl>
    <w:p>
      <w:pPr>
        <w:spacing w:after="0" w:before="80"/>
      </w:pPr>
      <w:r>
        <w:t xml:space="preserve"/>
      </w:r>
    </w:p>
    <w:p>
      <w:pPr>
        <w:spacing w:after="60" w:before="60"/>
      </w:pPr>
      <w:r>
        <w:rPr>
          <w:rFonts w:ascii="Arial" w:cs="Arial" w:eastAsia="Arial" w:hAnsi="Arial"/>
          <w:b w:val="false"/>
          <w:bCs w:val="false"/>
          <w:i/>
          <w:iCs/>
          <w:color w:val="888888"/>
          <w:sz w:val="21"/>
          <w:szCs w:val="21"/>
        </w:rPr>
        <w:t xml:space="preserve">MTTR = Mean Time to Resolve  |  Dwell time reflects total scenario window from first alert to final closure.</w:t>
      </w:r>
    </w:p>
    <w:p>
      <w:pPr>
        <w:spacing w:after="0" w:before="200"/>
      </w:pPr>
      <w:r>
        <w:t xml:space="preserve"/>
      </w:r>
    </w:p>
    <w:p>
      <w:pPr>
        <w:pBdr>
          <w:bottom w:val="single" w:color="2E8B4A" w:sz="6" w:space="4"/>
        </w:pBdr>
        <w:spacing w:after="120" w:before="300"/>
      </w:pPr>
      <w:r>
        <w:rPr>
          <w:rFonts w:ascii="Arial" w:cs="Arial" w:eastAsia="Arial" w:hAnsi="Arial"/>
          <w:b/>
          <w:bCs/>
          <w:color w:val="1B2A3B"/>
          <w:sz w:val="28"/>
          <w:szCs w:val="28"/>
        </w:rPr>
        <w:t xml:space="preserve">3.  Alert Triage Log</w:t>
      </w:r>
    </w:p>
    <w:p>
      <w:pPr>
        <w:spacing w:after="60" w:before="60"/>
      </w:pPr>
      <w:r>
        <w:rPr>
          <w:rFonts w:ascii="Arial" w:cs="Arial" w:eastAsia="Arial" w:hAnsi="Arial"/>
          <w:b w:val="false"/>
          <w:bCs w:val="false"/>
          <w:i w:val="false"/>
          <w:iCs w:val="false"/>
          <w:color w:val="333333"/>
          <w:sz w:val="21"/>
          <w:szCs w:val="21"/>
        </w:rPr>
        <w:t xml:space="preserve">The following tables document all five alerts processed during the scenario, organized by classification.</w:t>
      </w:r>
    </w:p>
    <w:p>
      <w:pPr>
        <w:spacing w:after="0" w:before="120"/>
      </w:pPr>
      <w:r>
        <w:t xml:space="preserve"/>
      </w:r>
    </w:p>
    <w:p>
      <w:pPr>
        <w:spacing w:after="100" w:before="200"/>
      </w:pPr>
      <w:r>
        <w:rPr>
          <w:rFonts w:ascii="Arial" w:cs="Arial" w:eastAsia="Arial" w:hAnsi="Arial"/>
          <w:b/>
          <w:bCs/>
          <w:color w:val="1B2A3B"/>
          <w:sz w:val="24"/>
          <w:szCs w:val="24"/>
        </w:rPr>
        <w:t xml:space="preserve">3.1  True Positives (Malicious — Escalated)</w:t>
      </w:r>
    </w:p>
    <w:p>
      <w:pPr>
        <w:spacing w:after="60" w:before="60"/>
      </w:pPr>
      <w:r>
        <w:rPr>
          <w:rFonts w:ascii="Arial" w:cs="Arial" w:eastAsia="Arial" w:hAnsi="Arial"/>
          <w:b w:val="false"/>
          <w:bCs w:val="false"/>
          <w:i w:val="false"/>
          <w:iCs w:val="false"/>
          <w:color w:val="333333"/>
          <w:sz w:val="21"/>
          <w:szCs w:val="21"/>
        </w:rPr>
        <w:t xml:space="preserve">Alerts confirmed as genuine security incidents requiring escalation and remediation action.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060"/>
        <w:gridCol w:w="1300"/>
        <w:gridCol w:w="1200"/>
        <w:gridCol w:w="1000"/>
      </w:tblGrid>
      <w:tr>
        <w:tc>
          <w:tcPr>
            <w:tcW w:type="dxa" w:w="7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Alert ID</w:t>
            </w:r>
          </w:p>
        </w:tc>
        <w:tc>
          <w:tcPr>
            <w:tcW w:type="dxa" w:w="11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Alert Rule</w:t>
            </w:r>
          </w:p>
        </w:tc>
        <w:tc>
          <w:tcPr>
            <w:tcW w:type="dxa" w:w="306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Summary</w:t>
            </w:r>
          </w:p>
        </w:tc>
        <w:tc>
          <w:tcPr>
            <w:tcW w:type="dxa" w:w="13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Severity</w:t>
            </w:r>
          </w:p>
        </w:tc>
        <w:tc>
          <w:tcPr>
            <w:tcW w:type="dxa" w:w="12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TTR</w:t>
            </w:r>
          </w:p>
        </w:tc>
        <w:tc>
          <w:tcPr>
            <w:tcW w:type="dxa" w:w="10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Verdict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888888"/>
                <w:sz w:val="20"/>
                <w:szCs w:val="20"/>
              </w:rPr>
              <w:t xml:space="preserve">8816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Firewall Block</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Outbound connection attempt to a blacklisted external URL. Firewall enforcement rule triggered and blocked the request at the perimeter.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CC22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25.95 min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4A"/>
                <w:sz w:val="20"/>
                <w:szCs w:val="20"/>
              </w:rPr>
              <w:t xml:space="preserve">TP</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888888"/>
                <w:sz w:val="20"/>
                <w:szCs w:val="20"/>
              </w:rPr>
              <w:t xml:space="preserve">8815</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Phishing Email</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Inbound email containing a suspicious external hyperlink originating from an untrusted sender. Indicators consistent with a phishing lure.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CC88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5.70 min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4A"/>
                <w:sz w:val="20"/>
                <w:szCs w:val="20"/>
              </w:rPr>
              <w:t xml:space="preserve">TP</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888888"/>
                <w:sz w:val="20"/>
                <w:szCs w:val="20"/>
              </w:rPr>
              <w:t xml:space="preserve">8817</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Phishing Email</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Second inbound phishing email with suspicious external link. Pattern consistent with Alert 8815; assessed as part of the same campaign.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CC88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5.65 min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4A"/>
                <w:sz w:val="20"/>
                <w:szCs w:val="20"/>
              </w:rPr>
              <w:t xml:space="preserve">TP</w:t>
            </w:r>
          </w:p>
        </w:tc>
      </w:tr>
    </w:tbl>
    <w:p>
      <w:pPr>
        <w:spacing w:after="0" w:before="140"/>
      </w:pPr>
      <w:r>
        <w:t xml:space="preserve"/>
      </w:r>
    </w:p>
    <w:p>
      <w:pPr>
        <w:spacing w:after="100" w:before="200"/>
      </w:pPr>
      <w:r>
        <w:rPr>
          <w:rFonts w:ascii="Arial" w:cs="Arial" w:eastAsia="Arial" w:hAnsi="Arial"/>
          <w:b/>
          <w:bCs/>
          <w:color w:val="1B2A3B"/>
          <w:sz w:val="24"/>
          <w:szCs w:val="24"/>
        </w:rPr>
        <w:t xml:space="preserve">3.2  False Positives (Benign — Closed)</w:t>
      </w:r>
    </w:p>
    <w:p>
      <w:pPr>
        <w:spacing w:after="60" w:before="60"/>
      </w:pPr>
      <w:r>
        <w:rPr>
          <w:rFonts w:ascii="Arial" w:cs="Arial" w:eastAsia="Arial" w:hAnsi="Arial"/>
          <w:b w:val="false"/>
          <w:bCs w:val="false"/>
          <w:i w:val="false"/>
          <w:iCs w:val="false"/>
          <w:color w:val="333333"/>
          <w:sz w:val="21"/>
          <w:szCs w:val="21"/>
        </w:rPr>
        <w:t xml:space="preserve">Alerts determined to be benign after investigation. No malicious activity confirmed; tickets closed with documented rationale.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060"/>
        <w:gridCol w:w="1300"/>
        <w:gridCol w:w="1200"/>
        <w:gridCol w:w="1000"/>
      </w:tblGrid>
      <w:tr>
        <w:tc>
          <w:tcPr>
            <w:tcW w:type="dxa" w:w="7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Alert ID</w:t>
            </w:r>
          </w:p>
        </w:tc>
        <w:tc>
          <w:tcPr>
            <w:tcW w:type="dxa" w:w="11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Alert Rule</w:t>
            </w:r>
          </w:p>
        </w:tc>
        <w:tc>
          <w:tcPr>
            <w:tcW w:type="dxa" w:w="306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Summary</w:t>
            </w:r>
          </w:p>
        </w:tc>
        <w:tc>
          <w:tcPr>
            <w:tcW w:type="dxa" w:w="13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Severity</w:t>
            </w:r>
          </w:p>
        </w:tc>
        <w:tc>
          <w:tcPr>
            <w:tcW w:type="dxa" w:w="12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TTR</w:t>
            </w:r>
          </w:p>
        </w:tc>
        <w:tc>
          <w:tcPr>
            <w:tcW w:type="dxa" w:w="10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Verdict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888888"/>
                <w:sz w:val="20"/>
                <w:szCs w:val="20"/>
              </w:rPr>
              <w:t xml:space="preserve">8814</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Phishing Email</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Inbound email with external link flagged by detection rule. Investigation determined the sender and link destination were legitimate. Closed as FP.</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CC88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56.10 min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255CC"/>
                <w:sz w:val="20"/>
                <w:szCs w:val="20"/>
              </w:rPr>
              <w:t xml:space="preserve">FP</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888888"/>
                <w:sz w:val="20"/>
                <w:szCs w:val="20"/>
              </w:rPr>
              <w:t xml:space="preserve">8818</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Phishing Email</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Flagged inbound email reviewed and confirmed benign. No malicious indicators found upon analysis of headers, sender reputation, and link destination.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CC88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2.25 min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255CC"/>
                <w:sz w:val="20"/>
                <w:szCs w:val="20"/>
              </w:rPr>
              <w:t xml:space="preserve">FP</w:t>
            </w:r>
          </w:p>
        </w:tc>
      </w:tr>
    </w:tbl>
    <w:p>
      <w:pPr>
        <w:spacing w:after="0" w:before="80"/>
      </w:pPr>
      <w:r>
        <w:t xml:space="preserve"/>
      </w:r>
    </w:p>
    <w:p>
      <w:pPr>
        <w:spacing w:after="60" w:before="60"/>
      </w:pPr>
      <w:r>
        <w:rPr>
          <w:rFonts w:ascii="Arial" w:cs="Arial" w:eastAsia="Arial" w:hAnsi="Arial"/>
          <w:b w:val="false"/>
          <w:bCs w:val="false"/>
          <w:i/>
          <w:iCs/>
          <w:color w:val="888888"/>
          <w:sz w:val="21"/>
          <w:szCs w:val="21"/>
        </w:rPr>
        <w:t xml:space="preserve">TP = True Positive (confirmed malicious)  |  FP = False Positive (confirmed benign)  |  TTR = Time to Resolve</w:t>
      </w:r>
    </w:p>
    <w:p>
      <w:pPr>
        <w:spacing w:after="0" w:before="200"/>
      </w:pPr>
      <w:r>
        <w:t xml:space="preserve"/>
      </w:r>
    </w:p>
    <w:p>
      <w:pPr>
        <w:pBdr>
          <w:bottom w:val="single" w:color="2E8B4A" w:sz="6" w:space="4"/>
        </w:pBdr>
        <w:spacing w:after="120" w:before="300"/>
      </w:pPr>
      <w:r>
        <w:rPr>
          <w:rFonts w:ascii="Arial" w:cs="Arial" w:eastAsia="Arial" w:hAnsi="Arial"/>
          <w:b/>
          <w:bCs/>
          <w:color w:val="1B2A3B"/>
          <w:sz w:val="28"/>
          <w:szCs w:val="28"/>
        </w:rPr>
        <w:t xml:space="preserve">4.  Investigation Notes &amp; Analysis</w:t>
      </w:r>
    </w:p>
    <w:p>
      <w:pPr>
        <w:spacing w:after="80" w:before="160"/>
      </w:pPr>
      <w:r>
        <w:rPr>
          <w:rFonts w:ascii="Arial" w:cs="Arial" w:eastAsia="Arial" w:hAnsi="Arial"/>
          <w:b/>
          <w:bCs/>
          <w:color w:val="2E4057"/>
          <w:sz w:val="22"/>
          <w:szCs w:val="22"/>
        </w:rPr>
        <w:t xml:space="preserve">Alert 8816 — Firewall: Blacklisted External URL</w:t>
      </w:r>
    </w:p>
    <w:p>
      <w:pPr>
        <w:spacing w:after="60" w:before="60"/>
      </w:pPr>
      <w:r>
        <w:rPr>
          <w:rFonts w:ascii="Arial" w:cs="Arial" w:eastAsia="Arial" w:hAnsi="Arial"/>
          <w:b/>
          <w:bCs/>
          <w:i w:val="false"/>
          <w:iCs w:val="false"/>
          <w:color w:val="333333"/>
          <w:sz w:val="21"/>
          <w:szCs w:val="21"/>
        </w:rPr>
        <w:t xml:space="preserve">Classification: True Positive  |  Severity: High  |  TTR: 25.95 minutes</w:t>
      </w:r>
    </w:p>
    <w:p>
      <w:pPr>
        <w:spacing w:after="0" w:before="60"/>
      </w:pPr>
      <w:r>
        <w:t xml:space="preserve"/>
      </w:r>
    </w:p>
    <w:p>
      <w:pPr>
        <w:spacing w:after="60" w:before="60"/>
      </w:pPr>
      <w:r>
        <w:rPr>
          <w:rFonts w:ascii="Arial" w:cs="Arial" w:eastAsia="Arial" w:hAnsi="Arial"/>
          <w:b w:val="false"/>
          <w:bCs w:val="false"/>
          <w:i w:val="false"/>
          <w:iCs w:val="false"/>
          <w:color w:val="333333"/>
          <w:sz w:val="21"/>
          <w:szCs w:val="21"/>
        </w:rPr>
        <w:t xml:space="preserve">The alert was triggered when a host on the internal network initiated an outbound HTTP/HTTPS request to an IP or domain present on the organization's threat intelligence blocklist. The firewall enforcement rule intercepted and denied the connection before it was established, preventing potential command-and-control (C2) communication or data exfiltration.</w:t>
      </w:r>
    </w:p>
    <w:p>
      <w:pPr>
        <w:spacing w:after="0" w:before="60"/>
      </w:pPr>
      <w:r>
        <w:t xml:space="preserve"/>
      </w:r>
    </w:p>
    <w:p>
      <w:pPr>
        <w:spacing w:after="60" w:before="60"/>
      </w:pPr>
      <w:r>
        <w:rPr>
          <w:rFonts w:ascii="Arial" w:cs="Arial" w:eastAsia="Arial" w:hAnsi="Arial"/>
          <w:b w:val="false"/>
          <w:bCs w:val="false"/>
          <w:i w:val="false"/>
          <w:iCs w:val="false"/>
          <w:color w:val="333333"/>
          <w:sz w:val="21"/>
          <w:szCs w:val="21"/>
        </w:rPr>
        <w:t xml:space="preserve">The elevated TTR for this alert reflects the additional investigation time spent correlating the blocked destination against threat intelligence feeds and reviewing the source host's prior activity for signs of compromise or lateral movement.</w:t>
      </w:r>
    </w:p>
    <w:p>
      <w:pPr>
        <w:spacing w:after="0" w:before="60"/>
      </w:pPr>
      <w:r>
        <w:t xml:space="preserve"/>
      </w:r>
    </w:p>
    <w:p>
      <w:pPr>
        <w:spacing w:after="60" w:before="60"/>
      </w:pPr>
      <w:r>
        <w:rPr>
          <w:rFonts w:ascii="Arial" w:cs="Arial" w:eastAsia="Arial" w:hAnsi="Arial"/>
          <w:b w:val="false"/>
          <w:bCs w:val="false"/>
          <w:i/>
          <w:iCs/>
          <w:color w:val="555555"/>
          <w:sz w:val="21"/>
          <w:szCs w:val="21"/>
        </w:rPr>
        <w:t xml:space="preserve">Relevant MITRE ATT&amp;CK Tactic: Command and Control (TA0011) — specifically consistent with indicators associated with T1071 (Application Layer Protocol).</w:t>
      </w:r>
    </w:p>
    <w:p>
      <w:pPr>
        <w:spacing w:after="0" w:before="140"/>
      </w:pPr>
      <w:r>
        <w:t xml:space="preserve"/>
      </w:r>
    </w:p>
    <w:p>
      <w:pPr>
        <w:spacing w:after="80" w:before="160"/>
      </w:pPr>
      <w:r>
        <w:rPr>
          <w:rFonts w:ascii="Arial" w:cs="Arial" w:eastAsia="Arial" w:hAnsi="Arial"/>
          <w:b/>
          <w:bCs/>
          <w:color w:val="2E4057"/>
          <w:sz w:val="22"/>
          <w:szCs w:val="22"/>
        </w:rPr>
        <w:t xml:space="preserve">Alerts 8815 &amp; 8817 — Phishing: Inbound Email with Suspicious External Link</w:t>
      </w:r>
    </w:p>
    <w:p>
      <w:pPr>
        <w:spacing w:after="60" w:before="60"/>
      </w:pPr>
      <w:r>
        <w:rPr>
          <w:rFonts w:ascii="Arial" w:cs="Arial" w:eastAsia="Arial" w:hAnsi="Arial"/>
          <w:b/>
          <w:bCs/>
          <w:i w:val="false"/>
          <w:iCs w:val="false"/>
          <w:color w:val="333333"/>
          <w:sz w:val="21"/>
          <w:szCs w:val="21"/>
        </w:rPr>
        <w:t xml:space="preserve">Classification: True Positive  |  Severity: Medium  |  TTR: 5.70 min / 5.65 min</w:t>
      </w:r>
    </w:p>
    <w:p>
      <w:pPr>
        <w:spacing w:after="0" w:before="60"/>
      </w:pPr>
      <w:r>
        <w:t xml:space="preserve"/>
      </w:r>
    </w:p>
    <w:p>
      <w:pPr>
        <w:spacing w:after="60" w:before="60"/>
      </w:pPr>
      <w:r>
        <w:rPr>
          <w:rFonts w:ascii="Arial" w:cs="Arial" w:eastAsia="Arial" w:hAnsi="Arial"/>
          <w:b w:val="false"/>
          <w:bCs w:val="false"/>
          <w:i w:val="false"/>
          <w:iCs w:val="false"/>
          <w:color w:val="333333"/>
          <w:sz w:val="21"/>
          <w:szCs w:val="21"/>
        </w:rPr>
        <w:t xml:space="preserve">Both alerts were triggered by the email gateway's detection rule for inbound messages containing external hyperlinks assessed as suspicious based on domain reputation, URL structure, or threat intelligence matching. Upon review, both emails exhibited indicators of phishing activity — including spoofed or lookalike sender domains and links pointing to unrecognized external hosts with no legitimate business association.</w:t>
      </w:r>
    </w:p>
    <w:p>
      <w:pPr>
        <w:spacing w:after="0" w:before="60"/>
      </w:pPr>
      <w:r>
        <w:t xml:space="preserve"/>
      </w:r>
    </w:p>
    <w:p>
      <w:pPr>
        <w:spacing w:after="60" w:before="60"/>
      </w:pPr>
      <w:r>
        <w:rPr>
          <w:rFonts w:ascii="Arial" w:cs="Arial" w:eastAsia="Arial" w:hAnsi="Arial"/>
          <w:b w:val="false"/>
          <w:bCs w:val="false"/>
          <w:i w:val="false"/>
          <w:iCs w:val="false"/>
          <w:color w:val="333333"/>
          <w:sz w:val="21"/>
          <w:szCs w:val="21"/>
        </w:rPr>
        <w:t xml:space="preserve">Alerts 8815 and 8817 were assessed as part of a coordinated phishing campaign targeting the organization, given their temporal proximity and similar TTPs. Both were escalated for further action, including potential mailbox remediation and user notification.</w:t>
      </w:r>
    </w:p>
    <w:p>
      <w:pPr>
        <w:spacing w:after="0" w:before="60"/>
      </w:pPr>
      <w:r>
        <w:t xml:space="preserve"/>
      </w:r>
    </w:p>
    <w:p>
      <w:pPr>
        <w:spacing w:after="60" w:before="60"/>
      </w:pPr>
      <w:r>
        <w:rPr>
          <w:rFonts w:ascii="Arial" w:cs="Arial" w:eastAsia="Arial" w:hAnsi="Arial"/>
          <w:b w:val="false"/>
          <w:bCs w:val="false"/>
          <w:i/>
          <w:iCs/>
          <w:color w:val="555555"/>
          <w:sz w:val="21"/>
          <w:szCs w:val="21"/>
        </w:rPr>
        <w:t xml:space="preserve">Relevant MITRE ATT&amp;CK Tactic: Initial Access (TA0001) — T1566.002: Phishing via Spearphishing Link.</w:t>
      </w:r>
    </w:p>
    <w:p>
      <w:pPr>
        <w:spacing w:after="0" w:before="140"/>
      </w:pPr>
      <w:r>
        <w:t xml:space="preserve"/>
      </w:r>
    </w:p>
    <w:p>
      <w:pPr>
        <w:spacing w:after="80" w:before="160"/>
      </w:pPr>
      <w:r>
        <w:rPr>
          <w:rFonts w:ascii="Arial" w:cs="Arial" w:eastAsia="Arial" w:hAnsi="Arial"/>
          <w:b/>
          <w:bCs/>
          <w:color w:val="2E4057"/>
          <w:sz w:val="22"/>
          <w:szCs w:val="22"/>
        </w:rPr>
        <w:t xml:space="preserve">Alerts 8814 &amp; 8818 — False Positives: Benign Email Activity</w:t>
      </w:r>
    </w:p>
    <w:p>
      <w:pPr>
        <w:spacing w:after="60" w:before="60"/>
      </w:pPr>
      <w:r>
        <w:rPr>
          <w:rFonts w:ascii="Arial" w:cs="Arial" w:eastAsia="Arial" w:hAnsi="Arial"/>
          <w:b/>
          <w:bCs/>
          <w:i w:val="false"/>
          <w:iCs w:val="false"/>
          <w:color w:val="333333"/>
          <w:sz w:val="21"/>
          <w:szCs w:val="21"/>
        </w:rPr>
        <w:t xml:space="preserve">Classification: False Positive  |  Severity: Medium  |  TTR: 56.10 min / 2.25 min</w:t>
      </w:r>
    </w:p>
    <w:p>
      <w:pPr>
        <w:spacing w:after="0" w:before="60"/>
      </w:pPr>
      <w:r>
        <w:t xml:space="preserve"/>
      </w:r>
    </w:p>
    <w:p>
      <w:pPr>
        <w:spacing w:after="60" w:before="60"/>
      </w:pPr>
      <w:r>
        <w:rPr>
          <w:rFonts w:ascii="Arial" w:cs="Arial" w:eastAsia="Arial" w:hAnsi="Arial"/>
          <w:b w:val="false"/>
          <w:bCs w:val="false"/>
          <w:i w:val="false"/>
          <w:iCs w:val="false"/>
          <w:color w:val="333333"/>
          <w:sz w:val="21"/>
          <w:szCs w:val="21"/>
        </w:rPr>
        <w:t xml:space="preserve">Both alerts were triggered by the same email detection rule as 8815 and 8817. However, investigation of email headers, sender reputation scores, and link destinations confirmed no malicious intent. The flagged links resolved to known legitimate services, and sender domains passed SPF, DKIM, and DMARC authentication checks.</w:t>
      </w:r>
    </w:p>
    <w:p>
      <w:pPr>
        <w:spacing w:after="0" w:before="60"/>
      </w:pPr>
      <w:r>
        <w:t xml:space="preserve"/>
      </w:r>
    </w:p>
    <w:p>
      <w:pPr>
        <w:spacing w:after="60" w:before="60"/>
      </w:pPr>
      <w:r>
        <w:rPr>
          <w:rFonts w:ascii="Arial" w:cs="Arial" w:eastAsia="Arial" w:hAnsi="Arial"/>
          <w:b w:val="false"/>
          <w:bCs w:val="false"/>
          <w:i w:val="false"/>
          <w:iCs w:val="false"/>
          <w:color w:val="333333"/>
          <w:sz w:val="21"/>
          <w:szCs w:val="21"/>
        </w:rPr>
        <w:t xml:space="preserve">Alert 8814 required significantly more investigation time (56.10 minutes) due to the need for deeper header analysis and sender domain verification before a confident benign determination could be made. Alert 8818 was resolved quickly given contextual similarities to 8814's findings.</w:t>
      </w:r>
    </w:p>
    <w:p>
      <w:pPr>
        <w:spacing w:after="0" w:before="60"/>
      </w:pPr>
      <w:r>
        <w:t xml:space="preserve"/>
      </w:r>
    </w:p>
    <w:p>
      <w:pPr>
        <w:spacing w:after="60" w:before="60"/>
      </w:pPr>
      <w:r>
        <w:rPr>
          <w:rFonts w:ascii="Arial" w:cs="Arial" w:eastAsia="Arial" w:hAnsi="Arial"/>
          <w:b w:val="false"/>
          <w:bCs w:val="false"/>
          <w:i/>
          <w:iCs/>
          <w:color w:val="555555"/>
          <w:sz w:val="21"/>
          <w:szCs w:val="21"/>
        </w:rPr>
        <w:t xml:space="preserve">Disposition: Both tickets closed as false positives. No escalation required. Findings documented to support potential tuning of the detection rule to reduce noise from similar legitimate email patterns.</w:t>
      </w:r>
    </w:p>
    <w:p>
      <w:pPr>
        <w:spacing w:after="0" w:before="200"/>
      </w:pPr>
      <w:r>
        <w:t xml:space="preserve"/>
      </w:r>
    </w:p>
    <w:p>
      <w:pPr>
        <w:pBdr>
          <w:bottom w:val="single" w:color="2E8B4A" w:sz="6" w:space="4"/>
        </w:pBdr>
        <w:spacing w:after="120" w:before="300"/>
      </w:pPr>
      <w:r>
        <w:rPr>
          <w:rFonts w:ascii="Arial" w:cs="Arial" w:eastAsia="Arial" w:hAnsi="Arial"/>
          <w:b/>
          <w:bCs/>
          <w:color w:val="1B2A3B"/>
          <w:sz w:val="28"/>
          <w:szCs w:val="28"/>
        </w:rPr>
        <w:t xml:space="preserve">5.  AI-Assisted Report Quality Review</w:t>
      </w:r>
    </w:p>
    <w:p>
      <w:pPr>
        <w:spacing w:after="60" w:before="60"/>
      </w:pPr>
      <w:r>
        <w:rPr>
          <w:rFonts w:ascii="Arial" w:cs="Arial" w:eastAsia="Arial" w:hAnsi="Arial"/>
          <w:b w:val="false"/>
          <w:bCs w:val="false"/>
          <w:i w:val="false"/>
          <w:iCs w:val="false"/>
          <w:color w:val="333333"/>
          <w:sz w:val="21"/>
          <w:szCs w:val="21"/>
        </w:rPr>
        <w:t xml:space="preserve">An AI-powered assessment evaluated the structure and completeness of the investigation reports submitted for each alert, benchmarked against the 5W reporting framework (Who, What, When, Where, Why).</w:t>
      </w:r>
    </w:p>
    <w:p>
      <w:pPr>
        <w:spacing w:after="0" w:before="120"/>
      </w:pPr>
      <w:r>
        <w:t xml:space="preserve"/>
      </w:r>
    </w:p>
    <w:p>
      <w:pPr>
        <w:spacing w:after="100" w:before="200"/>
      </w:pPr>
      <w:r>
        <w:rPr>
          <w:rFonts w:ascii="Arial" w:cs="Arial" w:eastAsia="Arial" w:hAnsi="Arial"/>
          <w:b/>
          <w:bCs/>
          <w:color w:val="1B2A3B"/>
          <w:sz w:val="24"/>
          <w:szCs w:val="24"/>
        </w:rPr>
        <w:t xml:space="preserve">Strengths Identified</w:t>
      </w:r>
    </w:p>
    <w:p>
      <w:pPr>
        <w:pStyle w:val="ListParagraph"/>
        <w:numPr>
          <w:ilvl w:val="0"/>
          <w:numId w:val="2"/>
        </w:numPr>
        <w:spacing w:after="60" w:before="60"/>
      </w:pPr>
      <w:r>
        <w:rPr>
          <w:rFonts w:ascii="Arial" w:cs="Arial" w:eastAsia="Arial" w:hAnsi="Arial"/>
          <w:color w:val="333333"/>
          <w:sz w:val="21"/>
          <w:szCs w:val="21"/>
        </w:rPr>
        <w:t xml:space="preserve">Consistent and accurate identification of the What (nature of the event) across all five reports.</w:t>
      </w:r>
    </w:p>
    <w:p>
      <w:pPr>
        <w:pStyle w:val="ListParagraph"/>
        <w:numPr>
          <w:ilvl w:val="0"/>
          <w:numId w:val="2"/>
        </w:numPr>
        <w:spacing w:after="60" w:before="60"/>
      </w:pPr>
      <w:r>
        <w:rPr>
          <w:rFonts w:ascii="Arial" w:cs="Arial" w:eastAsia="Arial" w:hAnsi="Arial"/>
          <w:color w:val="333333"/>
          <w:sz w:val="21"/>
          <w:szCs w:val="21"/>
        </w:rPr>
        <w:t xml:space="preserve">Clear articulation of the Why — classification rationale was well-documented and logically sound in each case.</w:t>
      </w:r>
    </w:p>
    <w:p>
      <w:pPr>
        <w:pStyle w:val="ListParagraph"/>
        <w:numPr>
          <w:ilvl w:val="0"/>
          <w:numId w:val="2"/>
        </w:numPr>
        <w:spacing w:after="60" w:before="60"/>
      </w:pPr>
      <w:r>
        <w:rPr>
          <w:rFonts w:ascii="Arial" w:cs="Arial" w:eastAsia="Arial" w:hAnsi="Arial"/>
          <w:color w:val="333333"/>
          <w:sz w:val="21"/>
          <w:szCs w:val="21"/>
        </w:rPr>
        <w:t xml:space="preserve">100% classification accuracy with zero misidentifications across the full alert queue.</w:t>
      </w:r>
    </w:p>
    <w:p>
      <w:pPr>
        <w:spacing w:after="0" w:before="120"/>
      </w:pPr>
      <w:r>
        <w:t xml:space="preserve"/>
      </w:r>
    </w:p>
    <w:p>
      <w:pPr>
        <w:spacing w:after="100" w:before="200"/>
      </w:pPr>
      <w:r>
        <w:rPr>
          <w:rFonts w:ascii="Arial" w:cs="Arial" w:eastAsia="Arial" w:hAnsi="Arial"/>
          <w:b/>
          <w:bCs/>
          <w:color w:val="1B2A3B"/>
          <w:sz w:val="24"/>
          <w:szCs w:val="24"/>
        </w:rPr>
        <w:t xml:space="preserve">Gaps Identified — Recommended Improvements</w:t>
      </w:r>
    </w:p>
    <w:p>
      <w:pPr>
        <w:pStyle w:val="ListParagraph"/>
        <w:numPr>
          <w:ilvl w:val="0"/>
          <w:numId w:val="2"/>
        </w:numPr>
        <w:spacing w:after="60" w:before="60"/>
      </w:pPr>
      <w:r>
        <w:rPr>
          <w:rFonts w:ascii="Arial" w:cs="Arial" w:eastAsia="Arial" w:hAnsi="Arial"/>
          <w:color w:val="333333"/>
          <w:sz w:val="21"/>
          <w:szCs w:val="21"/>
        </w:rPr>
        <w:t xml:space="preserve">Who: Reports lacked specificity regarding affected user accounts, endpoint hostnames, or asset identifiers. Future reports should include source IP, device name, or user principal name (UPN) where available.</w:t>
      </w:r>
    </w:p>
    <w:p>
      <w:pPr>
        <w:pStyle w:val="ListParagraph"/>
        <w:numPr>
          <w:ilvl w:val="0"/>
          <w:numId w:val="2"/>
        </w:numPr>
        <w:spacing w:after="60" w:before="60"/>
      </w:pPr>
      <w:r>
        <w:rPr>
          <w:rFonts w:ascii="Arial" w:cs="Arial" w:eastAsia="Arial" w:hAnsi="Arial"/>
          <w:color w:val="333333"/>
          <w:sz w:val="21"/>
          <w:szCs w:val="21"/>
        </w:rPr>
        <w:t xml:space="preserve">Where: Network context (VLAN, segment, geographic region, or department) was not consistently documented. Including this data aids in scoping the incident and prioritizing response.</w:t>
      </w:r>
    </w:p>
    <w:p>
      <w:pPr>
        <w:pStyle w:val="ListParagraph"/>
        <w:numPr>
          <w:ilvl w:val="0"/>
          <w:numId w:val="2"/>
        </w:numPr>
        <w:spacing w:after="60" w:before="60"/>
      </w:pPr>
      <w:r>
        <w:rPr>
          <w:rFonts w:ascii="Arial" w:cs="Arial" w:eastAsia="Arial" w:hAnsi="Arial"/>
          <w:color w:val="333333"/>
          <w:sz w:val="21"/>
          <w:szCs w:val="21"/>
        </w:rPr>
        <w:t xml:space="preserve">When: Precise timestamps for each event were not uniformly captured in the narrative. Accurate timestamps are critical for timeline reconstruction and correlation with other events.</w:t>
      </w:r>
    </w:p>
    <w:p>
      <w:pPr>
        <w:spacing w:after="0" w:before="80"/>
      </w:pPr>
      <w:r>
        <w:t xml:space="preserve"/>
      </w:r>
    </w:p>
    <w:p>
      <w:pPr>
        <w:spacing w:after="60" w:before="60"/>
      </w:pPr>
      <w:r>
        <w:rPr>
          <w:rFonts w:ascii="Arial" w:cs="Arial" w:eastAsia="Arial" w:hAnsi="Arial"/>
          <w:b w:val="false"/>
          <w:bCs w:val="false"/>
          <w:i/>
          <w:iCs/>
          <w:color w:val="555555"/>
          <w:sz w:val="21"/>
          <w:szCs w:val="21"/>
        </w:rPr>
        <w:t xml:space="preserve">Overall, the AI assessment noted a solid analytical foundation with room to strengthen report completeness in line with professional incident documentation standards.</w:t>
      </w:r>
    </w:p>
    <w:p>
      <w:pPr>
        <w:spacing w:after="0" w:before="200"/>
      </w:pPr>
      <w:r>
        <w:t xml:space="preserve"/>
      </w:r>
    </w:p>
    <w:p>
      <w:pPr>
        <w:pBdr>
          <w:bottom w:val="single" w:color="2E8B4A" w:sz="6" w:space="4"/>
        </w:pBdr>
        <w:spacing w:after="120" w:before="300"/>
      </w:pPr>
      <w:r>
        <w:rPr>
          <w:rFonts w:ascii="Arial" w:cs="Arial" w:eastAsia="Arial" w:hAnsi="Arial"/>
          <w:b/>
          <w:bCs/>
          <w:color w:val="1B2A3B"/>
          <w:sz w:val="28"/>
          <w:szCs w:val="28"/>
        </w:rPr>
        <w:t xml:space="preserve">6.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Competency</w:t>
            </w:r>
          </w:p>
        </w:tc>
        <w:tc>
          <w:tcPr>
            <w:tcW w:type="dxa" w:w="636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Evidence</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Alert Triage &amp; Classification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Correctly triaged 5/5 alerts with 100% TP and FP identification accuracy.</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Threat Investigation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Analyzed firewall logs and email gateway alerts; applied IOC correlation and sender authentication analysis (SPF/DKIM/DMARC).</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MITRE ATT&amp;CK Mapping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Mapped confirmed threats to Initial Access (TA0001 — T1566.002) and Command and Control (TA0011 — T1071).</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Incident Documentation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Produced investigation reports for all alerts; identified gaps in 5W coverage for future improvement.</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False Positive Reduction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Accurately dismissed 2 benign alerts, documenting rationale to support potential detection rule tuning.</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Campaign Correlation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Identified Alerts 8815 and 8817 as likely part of the same phishing campaign based on TTP overlap and temporal proximity.</w:t>
            </w:r>
          </w:p>
        </w:tc>
      </w:tr>
    </w:tbl>
    <w:p>
      <w:pPr>
        <w:spacing w:after="0" w:before="200"/>
      </w:pPr>
      <w:r>
        <w:t xml:space="preserve"/>
      </w:r>
    </w:p>
    <w:p>
      <w:pPr>
        <w:pBdr>
          <w:bottom w:val="single" w:color="2E8B4A" w:sz="6" w:space="4"/>
        </w:pBdr>
        <w:spacing w:after="120" w:before="300"/>
      </w:pPr>
      <w:r>
        <w:rPr>
          <w:rFonts w:ascii="Arial" w:cs="Arial" w:eastAsia="Arial" w:hAnsi="Arial"/>
          <w:b/>
          <w:bCs/>
          <w:color w:val="1B2A3B"/>
          <w:sz w:val="28"/>
          <w:szCs w:val="28"/>
        </w:rPr>
        <w:t xml:space="preserve">7.  Next Unlocked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Field</w:t>
            </w:r>
          </w:p>
        </w:tc>
        <w:tc>
          <w:tcPr>
            <w:tcW w:type="dxa" w:w="7160"/>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Details</w:t>
            </w:r>
          </w:p>
        </w:tc>
      </w:tr>
      <w:tr>
        <w:tc>
          <w:tcPr>
            <w:tcW w:type="dxa" w:w="22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Execution: T1204 — User Execution: Malicious File</w:t>
            </w:r>
          </w:p>
        </w:tc>
      </w:tr>
      <w:tr>
        <w:tc>
          <w:tcPr>
            <w:tcW w:type="dxa" w:w="22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MITRE Technique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T1204.002 — User Execution: Malicious File (Execution Tactic, TA0002)</w:t>
            </w:r>
          </w:p>
        </w:tc>
      </w:tr>
      <w:tr>
        <w:tc>
          <w:tcPr>
            <w:tcW w:type="dxa" w:w="22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Objective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Investigate an execution event where a user may have been socially engineered into opening a malicious file. Determine whether observed activity is benign or constitutes an active compromise.</w:t>
            </w:r>
          </w:p>
        </w:tc>
      </w:tr>
      <w:tr>
        <w:tc>
          <w:tcPr>
            <w:tcW w:type="dxa" w:w="22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Difficulty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Easy  |  +150 Points  |  Est. 5 minutes</w:t>
            </w:r>
          </w:p>
        </w:tc>
      </w:tr>
    </w:tbl>
    <w:p>
      <w:pPr>
        <w:spacing w:after="0" w:before="280"/>
      </w:pPr>
      <w:r>
        <w:t xml:space="preserve"/>
      </w:r>
    </w:p>
    <w:p>
      <w:pPr>
        <w:pBdr>
          <w:top w:val="single" w:color="CCCCCC" w:sz="4" w:space="8"/>
        </w:pBdr>
        <w:spacing w:after="0" w:before="120"/>
        <w:jc w:val="center"/>
      </w:pPr>
      <w:r>
        <w:rPr>
          <w:rFonts w:ascii="Arial" w:cs="Arial" w:eastAsia="Arial" w:hAnsi="Arial"/>
          <w:i/>
          <w:iCs/>
          <w:color w:val="AAAAAA"/>
          <w:sz w:val="18"/>
          <w:szCs w:val="18"/>
        </w:rPr>
        <w:t xml:space="preserve">zenmier30  ·  SOC Analyst Simulation  ·  1st Place  ·  170 pts  ·  100% TP / 100% FP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2026-05-13T08:02:10.023Z</dcterms:created>
  <dcterms:modified xsi:type="dcterms:W3CDTF">2026-05-13T08:02:10.035Z</dcterms:modified>
</cp:coreProperties>
</file>

<file path=docProps/custom.xml><?xml version="1.0" encoding="utf-8"?>
<Properties xmlns="http://schemas.openxmlformats.org/officeDocument/2006/custom-properties" xmlns:vt="http://schemas.openxmlformats.org/officeDocument/2006/docPropsVTypes"/>
</file>