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90D8CE0" w:rsidR="00A201C1" w:rsidRPr="00272D41" w:rsidRDefault="00272D41" w:rsidP="00A201C1">
      <w:pPr>
        <w:pStyle w:val="Title"/>
        <w:rPr>
          <w:sz w:val="52"/>
          <w:szCs w:val="52"/>
        </w:rPr>
      </w:pPr>
      <w:r w:rsidRPr="00272D41">
        <w:rPr>
          <w:sz w:val="52"/>
          <w:szCs w:val="52"/>
        </w:rPr>
        <w:t>Temporary Generator Connection</w:t>
      </w:r>
    </w:p>
    <w:p w14:paraId="1CCB3DA5" w14:textId="77777777" w:rsidR="00272D41" w:rsidRDefault="00272D41" w:rsidP="00272D41">
      <w:r>
        <w:t>This EOP provides guidelines and a standard procedure for connecting a temporary generator to the Main Distribution Board (MDB) if the onsite generators are inoperative.</w:t>
      </w:r>
    </w:p>
    <w:p w14:paraId="3C08A6FA" w14:textId="77777777" w:rsidR="00272D41" w:rsidRDefault="00272D41" w:rsidP="00272D41">
      <w:r w:rsidRPr="00272D41">
        <w:rPr>
          <w:b/>
          <w:color w:val="FF0000"/>
        </w:rPr>
        <w:t>Important</w:t>
      </w:r>
      <w:r>
        <w:t>: Only qualified electricians are permitted to perform the electrical connections described in this procedure.</w:t>
      </w:r>
    </w:p>
    <w:p w14:paraId="32FA9BF7" w14:textId="77777777" w:rsidR="00272D41" w:rsidRDefault="00272D41" w:rsidP="00272D41">
      <w:r w:rsidRPr="00272D41">
        <w:rPr>
          <w:b/>
          <w:color w:val="FF0000"/>
        </w:rPr>
        <w:t>Important</w:t>
      </w:r>
      <w:r>
        <w:t>: This procedure only applies to Caterpillar (CAT) generators.</w:t>
      </w:r>
    </w:p>
    <w:p w14:paraId="533E0FB9" w14:textId="77777777" w:rsidR="00272D41" w:rsidRDefault="00272D41" w:rsidP="00272D41">
      <w:r>
        <w:t>Use this EOP if the generator fails in an emergency situation, if the generator does not perform correctly during exercises, or if the generator must be offline for maintenance.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p w14:paraId="002D355E" w14:textId="77777777" w:rsidR="00272D41" w:rsidRDefault="00272D41" w:rsidP="00272D41">
      <w:pPr>
        <w:pStyle w:val="Heading1"/>
      </w:pPr>
      <w:r>
        <w:t>Connecting a Temporary Generator</w:t>
      </w:r>
    </w:p>
    <w:p w14:paraId="61650FB8" w14:textId="77777777" w:rsidR="00272D41" w:rsidRDefault="00272D41" w:rsidP="00272D41">
      <w:r>
        <w:t>Use the following procedures to connect a temporary generator:</w:t>
      </w:r>
    </w:p>
    <w:p w14:paraId="7D18E500" w14:textId="77777777" w:rsidR="00272D41" w:rsidRDefault="00272D41" w:rsidP="00272D41">
      <w:r>
        <w:t>A. Contact the vendor to dispatch a generator unit to your site</w:t>
      </w:r>
    </w:p>
    <w:p w14:paraId="3F163373" w14:textId="77777777" w:rsidR="00272D41" w:rsidRDefault="00272D41" w:rsidP="00272D41">
      <w:r>
        <w:t>B. Prepare for the temporary generator connection</w:t>
      </w:r>
    </w:p>
    <w:p w14:paraId="51C0A5C2" w14:textId="77777777" w:rsidR="00272D41" w:rsidRDefault="00272D41" w:rsidP="00272D41">
      <w:r>
        <w:t>C. Connect a temporary generator to the MDB</w:t>
      </w:r>
    </w:p>
    <w:p w14:paraId="66A3DB4A" w14:textId="77777777" w:rsidR="00272D41" w:rsidRDefault="00272D41" w:rsidP="00272D41">
      <w:r>
        <w:t>D. Start the temporary generator</w:t>
      </w:r>
    </w:p>
    <w:p w14:paraId="3720A197" w14:textId="77777777" w:rsidR="00272D41" w:rsidRDefault="00272D41" w:rsidP="00272D41">
      <w:r>
        <w:t>The Two-Man Rule applies to all the procedures in this EOP.</w:t>
      </w:r>
    </w:p>
    <w:p w14:paraId="79E3F36C" w14:textId="6C8131B6" w:rsidR="00272D41" w:rsidRDefault="00272D41" w:rsidP="00272D41">
      <w:r w:rsidRPr="00272D41">
        <w:rPr>
          <w:b/>
        </w:rPr>
        <w:t>Two-Man Rule:</w:t>
      </w:r>
      <w:r>
        <w:t xml:space="preserve"> Two people are required to perform any procedure that involves working on energized electrical equipment at 600 volts or greater. Both persons must understand the entire procedure before </w:t>
      </w:r>
      <w:r>
        <w:lastRenderedPageBreak/>
        <w:t>performing any step of the procedure. One person will read, observe, and verify the performance of each step; both persons must identify and agree which control will be manipulated before executing a change in state; the second person performs each step only when instructed to do so.</w:t>
      </w:r>
    </w:p>
    <w:p w14:paraId="38FE60B5" w14:textId="77777777" w:rsidR="00272D41" w:rsidRPr="00272D41" w:rsidRDefault="00272D41" w:rsidP="00272D41">
      <w:pPr>
        <w:pStyle w:val="Heading2"/>
      </w:pPr>
      <w:r w:rsidRPr="00272D41">
        <w:t>Order a temporary generator</w:t>
      </w:r>
    </w:p>
    <w:p w14:paraId="11D0DDF1" w14:textId="1217D131" w:rsidR="00272D41" w:rsidRDefault="00272D41" w:rsidP="00272D41">
      <w:pPr>
        <w:pStyle w:val="ListParagraph"/>
        <w:numPr>
          <w:ilvl w:val="0"/>
          <w:numId w:val="23"/>
        </w:numPr>
      </w:pPr>
      <w:r>
        <w:t>Contact the generator vendor to dispatch a temporary generator unit.</w:t>
      </w:r>
    </w:p>
    <w:p w14:paraId="14DF2665" w14:textId="0E265E1E" w:rsidR="00272D41" w:rsidRDefault="00272D41" w:rsidP="00272D41">
      <w:pPr>
        <w:pStyle w:val="ListParagraph"/>
        <w:numPr>
          <w:ilvl w:val="0"/>
          <w:numId w:val="23"/>
        </w:numPr>
      </w:pPr>
      <w:r>
        <w:t>Provide/request the following information when you order the unit:</w:t>
      </w:r>
    </w:p>
    <w:p w14:paraId="4FD09AE0" w14:textId="0D794D04" w:rsidR="00272D41" w:rsidRDefault="00272D41" w:rsidP="00272D41">
      <w:pPr>
        <w:pStyle w:val="ListParagraph"/>
        <w:numPr>
          <w:ilvl w:val="1"/>
          <w:numId w:val="24"/>
        </w:numPr>
      </w:pPr>
      <w:r>
        <w:t>Sizing and capacity based on the load requirements</w:t>
      </w:r>
    </w:p>
    <w:p w14:paraId="10D26755" w14:textId="3426C0C8" w:rsidR="00272D41" w:rsidRDefault="00272D41" w:rsidP="00272D41">
      <w:pPr>
        <w:pStyle w:val="ListParagraph"/>
        <w:numPr>
          <w:ilvl w:val="1"/>
          <w:numId w:val="24"/>
        </w:numPr>
      </w:pPr>
      <w:r>
        <w:t>Information about whether the existing generator setup requires Neutral cables going into the building</w:t>
      </w:r>
    </w:p>
    <w:p w14:paraId="72D2E731" w14:textId="01AEDE2E" w:rsidR="00272D41" w:rsidRDefault="00272D41" w:rsidP="00272D41">
      <w:pPr>
        <w:pStyle w:val="ListParagraph"/>
        <w:numPr>
          <w:ilvl w:val="1"/>
          <w:numId w:val="24"/>
        </w:numPr>
      </w:pPr>
      <w:proofErr w:type="spellStart"/>
      <w:r>
        <w:t>Megaohm</w:t>
      </w:r>
      <w:proofErr w:type="spellEnd"/>
      <w:r>
        <w:t>-testing certification of cabling, if possible</w:t>
      </w:r>
    </w:p>
    <w:p w14:paraId="1FFC2F4D" w14:textId="5FEA35FB" w:rsidR="00272D41" w:rsidRDefault="00272D41" w:rsidP="00272D41">
      <w:pPr>
        <w:pStyle w:val="ListParagraph"/>
        <w:numPr>
          <w:ilvl w:val="0"/>
          <w:numId w:val="23"/>
        </w:numPr>
      </w:pPr>
      <w:r>
        <w:t>When the generator is delivered, verify that it starts.</w:t>
      </w:r>
    </w:p>
    <w:p w14:paraId="28AF510D" w14:textId="77777777" w:rsidR="00272D41" w:rsidRDefault="00272D41" w:rsidP="00272D41">
      <w:pPr>
        <w:pStyle w:val="Heading2"/>
      </w:pPr>
      <w:r>
        <w:t>Prepare for the temporary generator connection</w:t>
      </w:r>
    </w:p>
    <w:p w14:paraId="68C51C6A" w14:textId="1E788C76" w:rsidR="00272D41" w:rsidRDefault="00272D41" w:rsidP="00272D41">
      <w:pPr>
        <w:pStyle w:val="ListParagraph"/>
        <w:numPr>
          <w:ilvl w:val="0"/>
          <w:numId w:val="25"/>
        </w:numPr>
      </w:pPr>
      <w:r>
        <w:t>Inspect all cabling whips to ensure that they are visually inspected for:</w:t>
      </w:r>
    </w:p>
    <w:p w14:paraId="6CDFED4A" w14:textId="13AB2245" w:rsidR="00272D41" w:rsidRDefault="00272D41" w:rsidP="00272D41">
      <w:pPr>
        <w:pStyle w:val="ListParagraph"/>
        <w:numPr>
          <w:ilvl w:val="1"/>
          <w:numId w:val="23"/>
        </w:numPr>
      </w:pPr>
      <w:r>
        <w:t>Physical damage</w:t>
      </w:r>
    </w:p>
    <w:p w14:paraId="659F2777" w14:textId="04D3034F" w:rsidR="00272D41" w:rsidRDefault="00272D41" w:rsidP="00272D41">
      <w:pPr>
        <w:pStyle w:val="ListParagraph"/>
        <w:numPr>
          <w:ilvl w:val="1"/>
          <w:numId w:val="23"/>
        </w:numPr>
      </w:pPr>
      <w:r>
        <w:t>Exposed wiring</w:t>
      </w:r>
    </w:p>
    <w:p w14:paraId="25B9FC8A" w14:textId="488A148E" w:rsidR="00272D41" w:rsidRDefault="00272D41" w:rsidP="00272D41">
      <w:pPr>
        <w:pStyle w:val="ListParagraph"/>
        <w:numPr>
          <w:ilvl w:val="1"/>
          <w:numId w:val="23"/>
        </w:numPr>
      </w:pPr>
      <w:r>
        <w:t>Loose connections</w:t>
      </w:r>
    </w:p>
    <w:p w14:paraId="6B19FAB8" w14:textId="55C689B5" w:rsidR="00272D41" w:rsidRDefault="00272D41" w:rsidP="00272D41">
      <w:pPr>
        <w:pStyle w:val="ListParagraph"/>
        <w:numPr>
          <w:ilvl w:val="1"/>
          <w:numId w:val="23"/>
        </w:numPr>
      </w:pPr>
      <w:r>
        <w:t>Proper rating</w:t>
      </w:r>
    </w:p>
    <w:p w14:paraId="5EB454B6" w14:textId="0A9575D2" w:rsidR="00272D41" w:rsidRDefault="00272D41" w:rsidP="00272D41">
      <w:pPr>
        <w:pStyle w:val="ListParagraph"/>
        <w:numPr>
          <w:ilvl w:val="1"/>
          <w:numId w:val="23"/>
        </w:numPr>
      </w:pPr>
      <w:r>
        <w:t>Sufficient insulation to handle the temporary generator load (the general r</w:t>
      </w:r>
      <w:bookmarkStart w:id="0" w:name="_GoBack"/>
      <w:bookmarkEnd w:id="0"/>
      <w:r>
        <w:t>ule is 360 amps per 4/0 cable in free air)</w:t>
      </w:r>
    </w:p>
    <w:p w14:paraId="4722AB4D" w14:textId="4A9EF104" w:rsidR="00272D41" w:rsidRDefault="00272D41" w:rsidP="00272D41">
      <w:pPr>
        <w:pStyle w:val="ListParagraph"/>
        <w:numPr>
          <w:ilvl w:val="0"/>
          <w:numId w:val="25"/>
        </w:numPr>
      </w:pPr>
      <w:r>
        <w:t>Verify that the generator fuel level is greater than three-quarters (3/4) full before start-up.</w:t>
      </w:r>
    </w:p>
    <w:p w14:paraId="18127301" w14:textId="77777777" w:rsidR="00272D41" w:rsidRDefault="00272D41" w:rsidP="00272D41">
      <w:pPr>
        <w:pStyle w:val="ListParagraph"/>
        <w:numPr>
          <w:ilvl w:val="0"/>
          <w:numId w:val="23"/>
        </w:numPr>
      </w:pPr>
      <w:r>
        <w:t>Important: For the duration of the emergency, you must monitor and make sure that the level falls no lower than one-quarter (1/4) of a tank before refueling again.</w:t>
      </w:r>
    </w:p>
    <w:p w14:paraId="16D2B286" w14:textId="77777777" w:rsidR="00272D41" w:rsidRDefault="00272D41" w:rsidP="00272D41">
      <w:pPr>
        <w:pStyle w:val="ListParagraph"/>
        <w:numPr>
          <w:ilvl w:val="0"/>
          <w:numId w:val="23"/>
        </w:numPr>
      </w:pPr>
      <w:r>
        <w:t>Verify that the phasing is correct: A-to-A, B-to-B, and C-to-C phases are mapped correctly from source to generator.</w:t>
      </w:r>
    </w:p>
    <w:p w14:paraId="2C178B42" w14:textId="4B89932D" w:rsidR="00272D41" w:rsidRDefault="00272D41" w:rsidP="00272D41">
      <w:pPr>
        <w:pStyle w:val="ListParagraph"/>
        <w:numPr>
          <w:ilvl w:val="0"/>
          <w:numId w:val="25"/>
        </w:numPr>
      </w:pPr>
      <w:r>
        <w:t>Verify that the phase rotation matches the existing data center phase rotation–normally clockwise rotation. This information should be indicated at the switchboard.</w:t>
      </w:r>
    </w:p>
    <w:p w14:paraId="1E462EE2" w14:textId="790691DA" w:rsidR="00272D41" w:rsidRDefault="00272D41" w:rsidP="00272D41">
      <w:pPr>
        <w:pStyle w:val="ListParagraph"/>
        <w:numPr>
          <w:ilvl w:val="0"/>
          <w:numId w:val="25"/>
        </w:numPr>
      </w:pPr>
      <w:r>
        <w:t>Briefly check the cabling before connecting the generator to the MDB:</w:t>
      </w:r>
    </w:p>
    <w:p w14:paraId="058147A8" w14:textId="4741DBF3" w:rsidR="00272D41" w:rsidRDefault="00272D41" w:rsidP="00272D41">
      <w:pPr>
        <w:pStyle w:val="ListParagraph"/>
        <w:numPr>
          <w:ilvl w:val="1"/>
          <w:numId w:val="23"/>
        </w:numPr>
      </w:pPr>
      <w:r>
        <w:t>The proper cabling layout is flat on the ground.</w:t>
      </w:r>
    </w:p>
    <w:p w14:paraId="4BA6AA4F" w14:textId="5843FDE7" w:rsidR="00272D41" w:rsidRDefault="00272D41" w:rsidP="00272D41">
      <w:pPr>
        <w:pStyle w:val="ListParagraph"/>
        <w:numPr>
          <w:ilvl w:val="1"/>
          <w:numId w:val="23"/>
        </w:numPr>
      </w:pPr>
      <w:r>
        <w:t>No cables are stacked upon one another.</w:t>
      </w:r>
    </w:p>
    <w:p w14:paraId="53E06DF7" w14:textId="2A8DB7C1" w:rsidR="00272D41" w:rsidRDefault="00272D41" w:rsidP="00272D41">
      <w:pPr>
        <w:pStyle w:val="ListParagraph"/>
        <w:numPr>
          <w:ilvl w:val="1"/>
          <w:numId w:val="23"/>
        </w:numPr>
      </w:pPr>
      <w:r>
        <w:t>Cables must be free from potential hazards that might compromise the electrical safety or connectivity.1</w:t>
      </w:r>
      <w:r>
        <w:rPr>
          <w:rStyle w:val="FootnoteReference"/>
        </w:rPr>
        <w:footnoteReference w:id="1"/>
      </w:r>
    </w:p>
    <w:p w14:paraId="63E791B1" w14:textId="7217ACBA" w:rsidR="00272D41" w:rsidRDefault="00272D41" w:rsidP="00272D41">
      <w:pPr>
        <w:pStyle w:val="ListParagraph"/>
        <w:numPr>
          <w:ilvl w:val="1"/>
          <w:numId w:val="23"/>
        </w:numPr>
      </w:pPr>
      <w:r>
        <w:t>The number of tails depends on the load that the generator supports.</w:t>
      </w:r>
    </w:p>
    <w:p w14:paraId="45CD21E5" w14:textId="2D785678" w:rsidR="00272D41" w:rsidRDefault="00272D41" w:rsidP="00272D41">
      <w:pPr>
        <w:pStyle w:val="ListParagraph"/>
        <w:numPr>
          <w:ilvl w:val="1"/>
          <w:numId w:val="23"/>
        </w:numPr>
      </w:pPr>
      <w:r>
        <w:t xml:space="preserve">Refer to </w:t>
      </w:r>
      <w:proofErr w:type="spellStart"/>
      <w:r>
        <w:t>DCGS_Generator</w:t>
      </w:r>
      <w:proofErr w:type="spellEnd"/>
      <w:r>
        <w:t>-Cabling-Requirements (.</w:t>
      </w:r>
      <w:proofErr w:type="spellStart"/>
      <w:r>
        <w:t>xls</w:t>
      </w:r>
      <w:proofErr w:type="spellEnd"/>
      <w:r>
        <w:t>) for specific generator information by site.</w:t>
      </w:r>
    </w:p>
    <w:p w14:paraId="699A2BED" w14:textId="77777777" w:rsidR="00272D41" w:rsidRDefault="00272D41" w:rsidP="00272D41">
      <w:pPr>
        <w:pStyle w:val="Heading2"/>
      </w:pPr>
      <w:r>
        <w:t>Connect the temporary generator to the MDB</w:t>
      </w:r>
    </w:p>
    <w:p w14:paraId="5A9405DA" w14:textId="770256E3" w:rsidR="00272D41" w:rsidRDefault="00272D41" w:rsidP="00272D41">
      <w:pPr>
        <w:pStyle w:val="ListParagraph"/>
        <w:numPr>
          <w:ilvl w:val="0"/>
          <w:numId w:val="27"/>
        </w:numPr>
      </w:pPr>
      <w:r>
        <w:t>Install the appropriate number per phase of 4/0 cables to the A phase or E1 terminal.</w:t>
      </w:r>
    </w:p>
    <w:p w14:paraId="7BB16577" w14:textId="43E73798" w:rsidR="00272D41" w:rsidRDefault="00272D41" w:rsidP="00272D41">
      <w:pPr>
        <w:pStyle w:val="ListParagraph"/>
        <w:numPr>
          <w:ilvl w:val="0"/>
          <w:numId w:val="27"/>
        </w:numPr>
      </w:pPr>
      <w:r>
        <w:t>Verify the correct installation of the cables on the A phase.</w:t>
      </w:r>
    </w:p>
    <w:p w14:paraId="5F8E8E4C" w14:textId="048DBBF7" w:rsidR="00272D41" w:rsidRDefault="00272D41" w:rsidP="00272D41">
      <w:pPr>
        <w:pStyle w:val="ListParagraph"/>
        <w:numPr>
          <w:ilvl w:val="0"/>
          <w:numId w:val="27"/>
        </w:numPr>
      </w:pPr>
      <w:r>
        <w:t>Install the appropriate number per phase of 4/0 cables to the B phase or E2 terminal.</w:t>
      </w:r>
    </w:p>
    <w:p w14:paraId="7AF5F46A" w14:textId="19295498" w:rsidR="00272D41" w:rsidRDefault="00272D41" w:rsidP="00272D41">
      <w:pPr>
        <w:pStyle w:val="ListParagraph"/>
        <w:numPr>
          <w:ilvl w:val="0"/>
          <w:numId w:val="27"/>
        </w:numPr>
      </w:pPr>
      <w:r>
        <w:t>Verify the correct installation of the cables on the B phase.</w:t>
      </w:r>
    </w:p>
    <w:p w14:paraId="48AE7B8C" w14:textId="257EFA4B" w:rsidR="00272D41" w:rsidRDefault="00272D41" w:rsidP="00272D41">
      <w:pPr>
        <w:pStyle w:val="ListParagraph"/>
        <w:numPr>
          <w:ilvl w:val="0"/>
          <w:numId w:val="27"/>
        </w:numPr>
      </w:pPr>
      <w:r>
        <w:lastRenderedPageBreak/>
        <w:t>Install the appropriate number per phase of 4/0 cables to the C phase or E3 terminal.</w:t>
      </w:r>
    </w:p>
    <w:p w14:paraId="68C67935" w14:textId="365CB541" w:rsidR="00272D41" w:rsidRDefault="00272D41" w:rsidP="00272D41">
      <w:pPr>
        <w:pStyle w:val="ListParagraph"/>
        <w:numPr>
          <w:ilvl w:val="0"/>
          <w:numId w:val="27"/>
        </w:numPr>
      </w:pPr>
      <w:r>
        <w:t>Verify the correct installation of the cables on the C phase.</w:t>
      </w:r>
    </w:p>
    <w:p w14:paraId="2124CDCF" w14:textId="0CDCAE64" w:rsidR="00272D41" w:rsidRDefault="00272D41" w:rsidP="00272D41">
      <w:pPr>
        <w:pStyle w:val="ListParagraph"/>
        <w:numPr>
          <w:ilvl w:val="0"/>
          <w:numId w:val="27"/>
        </w:numPr>
      </w:pPr>
      <w:r>
        <w:t>Install the appropriate number of 4/0 cables to the Neutral or EN terminal, if necessary.</w:t>
      </w:r>
    </w:p>
    <w:p w14:paraId="1BF832BA" w14:textId="1A025C93" w:rsidR="00272D41" w:rsidRDefault="00272D41" w:rsidP="00272D41">
      <w:pPr>
        <w:pStyle w:val="ListParagraph"/>
        <w:numPr>
          <w:ilvl w:val="0"/>
          <w:numId w:val="27"/>
        </w:numPr>
      </w:pPr>
      <w:r>
        <w:t>Verify the correct installation of the cables on the Neutral phase.</w:t>
      </w:r>
    </w:p>
    <w:p w14:paraId="1BBEC9B6" w14:textId="4E75603A" w:rsidR="00272D41" w:rsidRDefault="00272D41" w:rsidP="00272D41">
      <w:pPr>
        <w:pStyle w:val="ListParagraph"/>
        <w:numPr>
          <w:ilvl w:val="0"/>
          <w:numId w:val="27"/>
        </w:numPr>
      </w:pPr>
      <w:r>
        <w:t>Install the appropriate number of 4/0 cables to the Ground terminal, if necessary.</w:t>
      </w:r>
    </w:p>
    <w:p w14:paraId="014D112E" w14:textId="49318522" w:rsidR="00272D41" w:rsidRDefault="00272D41" w:rsidP="00272D41">
      <w:pPr>
        <w:pStyle w:val="ListParagraph"/>
        <w:numPr>
          <w:ilvl w:val="0"/>
          <w:numId w:val="27"/>
        </w:numPr>
      </w:pPr>
      <w:r>
        <w:t>Verify the correct installation of the cables on the Ground terminal.</w:t>
      </w:r>
    </w:p>
    <w:p w14:paraId="0498BED2" w14:textId="18E4EB7A" w:rsidR="00272D41" w:rsidRDefault="00272D41" w:rsidP="00272D41">
      <w:pPr>
        <w:pStyle w:val="ListParagraph"/>
        <w:numPr>
          <w:ilvl w:val="0"/>
          <w:numId w:val="27"/>
        </w:numPr>
      </w:pPr>
      <w:r>
        <w:t>Verify a source of 120/208 VAC is available for connecting Shore Power to the temporary generator.</w:t>
      </w:r>
    </w:p>
    <w:p w14:paraId="72DD3F1A" w14:textId="1ACE3810" w:rsidR="00272D41" w:rsidRDefault="00272D41" w:rsidP="00272D41">
      <w:pPr>
        <w:pStyle w:val="ListParagraph"/>
        <w:numPr>
          <w:ilvl w:val="0"/>
          <w:numId w:val="27"/>
        </w:numPr>
      </w:pPr>
      <w:r>
        <w:t>Connect the start wires from the generator being taken out of service to the temporary generator.</w:t>
      </w:r>
    </w:p>
    <w:p w14:paraId="2CCAB25A" w14:textId="77777777" w:rsidR="00272D41" w:rsidRDefault="00272D41" w:rsidP="00272D41">
      <w:pPr>
        <w:pStyle w:val="Heading2"/>
      </w:pPr>
      <w:r>
        <w:t>Start the temporary generator</w:t>
      </w:r>
    </w:p>
    <w:p w14:paraId="7729027B" w14:textId="1D70CDAC" w:rsidR="00272D41" w:rsidRDefault="00272D41" w:rsidP="00272D41">
      <w:pPr>
        <w:pStyle w:val="ListParagraph"/>
        <w:numPr>
          <w:ilvl w:val="0"/>
          <w:numId w:val="29"/>
        </w:numPr>
      </w:pPr>
      <w:r>
        <w:t xml:space="preserve">Verify that the phasing and phase rotation are correct (see </w:t>
      </w:r>
      <w:proofErr w:type="gramStart"/>
      <w:r>
        <w:t>Connecting</w:t>
      </w:r>
      <w:proofErr w:type="gramEnd"/>
      <w:r>
        <w:t xml:space="preserve"> a Temporary Generator).</w:t>
      </w:r>
    </w:p>
    <w:p w14:paraId="7B511613" w14:textId="5247A3C4" w:rsidR="00272D41" w:rsidRDefault="00272D41" w:rsidP="00272D41">
      <w:pPr>
        <w:pStyle w:val="ListParagraph"/>
        <w:numPr>
          <w:ilvl w:val="0"/>
          <w:numId w:val="29"/>
        </w:numPr>
      </w:pPr>
      <w:r>
        <w:t>At the temporary generator (control panel), start the generator and verify the following :</w:t>
      </w:r>
    </w:p>
    <w:p w14:paraId="70C8DE98" w14:textId="116825E5" w:rsidR="00272D41" w:rsidRDefault="00272D41" w:rsidP="00272D41">
      <w:pPr>
        <w:pStyle w:val="ListParagraph"/>
        <w:numPr>
          <w:ilvl w:val="1"/>
          <w:numId w:val="28"/>
        </w:numPr>
      </w:pPr>
      <w:r>
        <w:t>Generator is running and using the correct phase rotation (normally clockwise)</w:t>
      </w:r>
    </w:p>
    <w:p w14:paraId="65106B9F" w14:textId="0F2D6CB1" w:rsidR="00272D41" w:rsidRDefault="00272D41" w:rsidP="00272D41">
      <w:pPr>
        <w:pStyle w:val="ListParagraph"/>
        <w:numPr>
          <w:ilvl w:val="1"/>
          <w:numId w:val="28"/>
        </w:numPr>
      </w:pPr>
      <w:r>
        <w:t>Voltage levels are correct</w:t>
      </w:r>
    </w:p>
    <w:p w14:paraId="3EB6CB8A" w14:textId="1D099948" w:rsidR="0001228D" w:rsidRDefault="0001228D" w:rsidP="00272D41">
      <w:pPr>
        <w:pStyle w:val="Heading1"/>
        <w:rPr>
          <w:color w:val="2E74B5" w:themeColor="accent1" w:themeShade="BF"/>
          <w:sz w:val="32"/>
          <w:szCs w:val="32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816CBC" w:rsidRPr="000533CC" w14:paraId="2FF9F106" w14:textId="77777777" w:rsidTr="002C664B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1FCCB2A0" w:rsidR="00816CBC" w:rsidRPr="000533CC" w:rsidRDefault="00FF0CE9" w:rsidP="00FF0CE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</w:t>
            </w:r>
          </w:p>
        </w:tc>
      </w:tr>
      <w:tr w:rsidR="00816CBC" w:rsidRPr="000533CC" w14:paraId="5D0B951E" w14:textId="77777777" w:rsidTr="002C664B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67DCAC20" w:rsidR="00816CBC" w:rsidRPr="00DF1245" w:rsidRDefault="00272D41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</w:t>
            </w:r>
          </w:p>
        </w:tc>
      </w:tr>
      <w:tr w:rsidR="00816CBC" w:rsidRPr="000533CC" w14:paraId="5FD011A5" w14:textId="77777777" w:rsidTr="002C664B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5A9DDDD8" w:rsidR="00816CBC" w:rsidRPr="00DF1245" w:rsidRDefault="00FF0CE9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dca_dceo_eop_temporaty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-generator</w:t>
            </w:r>
          </w:p>
        </w:tc>
      </w:tr>
      <w:tr w:rsidR="00816CBC" w:rsidRPr="000533CC" w14:paraId="426474BF" w14:textId="77777777" w:rsidTr="002C664B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0175B7E6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Temporary Generator Connection</w:t>
            </w:r>
          </w:p>
        </w:tc>
      </w:tr>
      <w:tr w:rsidR="00816CBC" w:rsidRPr="000533CC" w14:paraId="2996CA80" w14:textId="77777777" w:rsidTr="002C664B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1D689FB3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Draft</w:t>
            </w:r>
          </w:p>
        </w:tc>
      </w:tr>
      <w:tr w:rsidR="00816CBC" w:rsidRPr="000533CC" w14:paraId="2948007B" w14:textId="77777777" w:rsidTr="002C664B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8B0FDA5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EOP</w:t>
            </w:r>
          </w:p>
        </w:tc>
      </w:tr>
      <w:tr w:rsidR="00816CBC" w:rsidRPr="000533CC" w14:paraId="305F1296" w14:textId="77777777" w:rsidTr="002C664B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78C440BB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Region</w:t>
            </w:r>
          </w:p>
        </w:tc>
      </w:tr>
      <w:tr w:rsidR="00816CBC" w:rsidRPr="000533CC" w14:paraId="311C2224" w14:textId="77777777" w:rsidTr="002C664B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321F65D7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swilleye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@</w:t>
            </w:r>
          </w:p>
        </w:tc>
      </w:tr>
      <w:tr w:rsidR="00816CBC" w:rsidRPr="000533CC" w14:paraId="7EF518FA" w14:textId="77777777" w:rsidTr="002C664B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2E46E065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beelliot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@</w:t>
            </w:r>
          </w:p>
        </w:tc>
      </w:tr>
      <w:tr w:rsidR="00816CBC" w:rsidRPr="000533CC" w14:paraId="3E8EB876" w14:textId="77777777" w:rsidTr="002C664B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13CF168D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Generator</w:t>
            </w:r>
          </w:p>
        </w:tc>
      </w:tr>
      <w:tr w:rsidR="00816CBC" w:rsidRPr="000533CC" w14:paraId="41C230F4" w14:textId="77777777" w:rsidTr="002C664B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78DAE1D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Amazon Confidential</w:t>
            </w:r>
          </w:p>
        </w:tc>
      </w:tr>
      <w:tr w:rsidR="00816CBC" w:rsidRPr="000533CC" w14:paraId="1EBB4193" w14:textId="77777777" w:rsidTr="002C664B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A59F277" w:rsidR="00816CBC" w:rsidRPr="002C664B" w:rsidRDefault="002C664B" w:rsidP="002C664B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Commercial version</w:t>
            </w:r>
          </w:p>
        </w:tc>
      </w:tr>
      <w:tr w:rsidR="00816CBC" w:rsidRPr="000533CC" w14:paraId="1C023AF6" w14:textId="77777777" w:rsidTr="002C664B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1073BE50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13B79A8D" w14:textId="77777777" w:rsidTr="002C664B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50C50B48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308B1BAE" w14:textId="77777777" w:rsidTr="002C664B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2B89AC51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EOT</w:t>
            </w:r>
          </w:p>
        </w:tc>
      </w:tr>
      <w:tr w:rsidR="00816CBC" w:rsidRPr="000533CC" w14:paraId="5374715B" w14:textId="77777777" w:rsidTr="002C664B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0DA4E2B9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1/1/15</w:t>
            </w:r>
          </w:p>
        </w:tc>
      </w:tr>
      <w:tr w:rsidR="00816CBC" w:rsidRPr="000533CC" w14:paraId="1DB94DD3" w14:textId="77777777" w:rsidTr="002C664B">
        <w:trPr>
          <w:trHeight w:val="144"/>
        </w:trPr>
        <w:tc>
          <w:tcPr>
            <w:tcW w:w="2082" w:type="dxa"/>
            <w:hideMark/>
          </w:tcPr>
          <w:p w14:paraId="352D8FD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6A599E9D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01AC2C8C" w14:textId="77777777" w:rsidTr="002C664B">
        <w:trPr>
          <w:trHeight w:val="144"/>
        </w:trPr>
        <w:tc>
          <w:tcPr>
            <w:tcW w:w="2082" w:type="dxa"/>
            <w:hideMark/>
          </w:tcPr>
          <w:p w14:paraId="68EB5D1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5CE6025B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1BA98F1B" w14:textId="77777777" w:rsidTr="002C664B">
        <w:trPr>
          <w:trHeight w:val="144"/>
        </w:trPr>
        <w:tc>
          <w:tcPr>
            <w:tcW w:w="2082" w:type="dxa"/>
            <w:hideMark/>
          </w:tcPr>
          <w:p w14:paraId="4535ABE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7703186F" w:rsidR="00816CBC" w:rsidRPr="00DF1245" w:rsidRDefault="002C664B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2C664B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2C664B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2C664B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3DEFD" w14:textId="77777777" w:rsidR="00CD370C" w:rsidRDefault="00CD370C" w:rsidP="00FA1FB8">
      <w:pPr>
        <w:spacing w:after="0" w:line="240" w:lineRule="auto"/>
      </w:pPr>
      <w:r>
        <w:separator/>
      </w:r>
    </w:p>
  </w:endnote>
  <w:endnote w:type="continuationSeparator" w:id="0">
    <w:p w14:paraId="016E094A" w14:textId="77777777" w:rsidR="00CD370C" w:rsidRDefault="00CD370C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2C664B">
      <w:rPr>
        <w:noProof/>
      </w:rPr>
      <w:t>4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8CD66" w14:textId="77777777" w:rsidR="00CD370C" w:rsidRDefault="00CD370C" w:rsidP="00FA1FB8">
      <w:pPr>
        <w:spacing w:after="0" w:line="240" w:lineRule="auto"/>
      </w:pPr>
      <w:r>
        <w:separator/>
      </w:r>
    </w:p>
  </w:footnote>
  <w:footnote w:type="continuationSeparator" w:id="0">
    <w:p w14:paraId="4FC80531" w14:textId="77777777" w:rsidR="00CD370C" w:rsidRDefault="00CD370C" w:rsidP="00FA1FB8">
      <w:pPr>
        <w:spacing w:after="0" w:line="240" w:lineRule="auto"/>
      </w:pPr>
      <w:r>
        <w:continuationSeparator/>
      </w:r>
    </w:p>
  </w:footnote>
  <w:footnote w:id="1">
    <w:p w14:paraId="19CF3DA8" w14:textId="6A857DAA" w:rsidR="00272D41" w:rsidRDefault="00272D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From the National Electrical Code, 2011 edition, Articles 520, 525, and 530.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5D7A2B9B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2C664B" w:rsidRPr="002C664B">
      <w:t>EOP</w:t>
    </w:r>
    <w:r w:rsidRPr="002C664B">
      <w:t xml:space="preserve"> / </w:t>
    </w:r>
    <w:proofErr w:type="spellStart"/>
    <w:r w:rsidR="002C664B" w:rsidRPr="002C664B">
      <w:t>dca_dceo_eop_temporaty</w:t>
    </w:r>
    <w:proofErr w:type="spellEnd"/>
    <w:r w:rsidR="002C664B" w:rsidRPr="002C664B">
      <w:t xml:space="preserve">-generator </w:t>
    </w:r>
    <w:r w:rsidRPr="002C664B">
      <w:t>/</w:t>
    </w:r>
    <w:r>
      <w:t xml:space="preserve"> </w:t>
    </w:r>
    <w:r w:rsidR="002C664B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E06C9"/>
    <w:multiLevelType w:val="hybridMultilevel"/>
    <w:tmpl w:val="660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D5B95"/>
    <w:multiLevelType w:val="hybridMultilevel"/>
    <w:tmpl w:val="4F8E5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56E6"/>
    <w:multiLevelType w:val="hybridMultilevel"/>
    <w:tmpl w:val="0E38E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15B68"/>
    <w:multiLevelType w:val="hybridMultilevel"/>
    <w:tmpl w:val="5626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B4B00"/>
    <w:multiLevelType w:val="hybridMultilevel"/>
    <w:tmpl w:val="05AA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02637"/>
    <w:multiLevelType w:val="hybridMultilevel"/>
    <w:tmpl w:val="348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58A6A8">
      <w:start w:val="2"/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8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4D877185"/>
    <w:multiLevelType w:val="hybridMultilevel"/>
    <w:tmpl w:val="A848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EB5D67"/>
    <w:multiLevelType w:val="hybridMultilevel"/>
    <w:tmpl w:val="0036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"/>
  </w:num>
  <w:num w:numId="7">
    <w:abstractNumId w:val="28"/>
  </w:num>
  <w:num w:numId="8">
    <w:abstractNumId w:val="22"/>
  </w:num>
  <w:num w:numId="9">
    <w:abstractNumId w:val="12"/>
  </w:num>
  <w:num w:numId="10">
    <w:abstractNumId w:val="21"/>
  </w:num>
  <w:num w:numId="11">
    <w:abstractNumId w:val="11"/>
  </w:num>
  <w:num w:numId="12">
    <w:abstractNumId w:val="27"/>
  </w:num>
  <w:num w:numId="13">
    <w:abstractNumId w:val="16"/>
  </w:num>
  <w:num w:numId="14">
    <w:abstractNumId w:val="3"/>
  </w:num>
  <w:num w:numId="15">
    <w:abstractNumId w:val="26"/>
  </w:num>
  <w:num w:numId="16">
    <w:abstractNumId w:val="8"/>
  </w:num>
  <w:num w:numId="17">
    <w:abstractNumId w:val="17"/>
  </w:num>
  <w:num w:numId="18">
    <w:abstractNumId w:val="24"/>
  </w:num>
  <w:num w:numId="19">
    <w:abstractNumId w:val="25"/>
  </w:num>
  <w:num w:numId="20">
    <w:abstractNumId w:val="19"/>
  </w:num>
  <w:num w:numId="21">
    <w:abstractNumId w:val="18"/>
  </w:num>
  <w:num w:numId="22">
    <w:abstractNumId w:val="5"/>
  </w:num>
  <w:num w:numId="23">
    <w:abstractNumId w:val="15"/>
  </w:num>
  <w:num w:numId="24">
    <w:abstractNumId w:val="23"/>
  </w:num>
  <w:num w:numId="25">
    <w:abstractNumId w:val="7"/>
  </w:num>
  <w:num w:numId="26">
    <w:abstractNumId w:val="6"/>
  </w:num>
  <w:num w:numId="27">
    <w:abstractNumId w:val="14"/>
  </w:num>
  <w:num w:numId="28">
    <w:abstractNumId w:val="20"/>
  </w:num>
  <w:num w:numId="2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272D41"/>
    <w:rsid w:val="002C664B"/>
    <w:rsid w:val="003E2080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CD370C"/>
    <w:rsid w:val="00D168F2"/>
    <w:rsid w:val="00E0690D"/>
    <w:rsid w:val="00F9388E"/>
    <w:rsid w:val="00FA1FB8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72D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2D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2D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3AB6-BABF-4511-9820-8B81C240B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4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2014-05-26T05:50:00Z</dcterms:created>
  <dcterms:modified xsi:type="dcterms:W3CDTF">2014-05-26T05:54:00Z</dcterms:modified>
</cp:coreProperties>
</file>