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120" w:before="0"/>
        <w:jc w:val="center"/>
      </w:pPr>
      <w:r>
        <w:rPr>
          <w:rFonts w:ascii="Calibri" w:hAnsi="Calibri"/>
          <w:b/>
          <w:color w:val="1F3864"/>
          <w:sz w:val="44"/>
        </w:rPr>
        <w:t>Test &amp; Inspection Plan Application</w:t>
      </w:r>
    </w:p>
    <w:p>
      <w:pPr>
        <w:spacing w:after="400"/>
        <w:jc w:val="center"/>
      </w:pPr>
      <w:r>
        <w:rPr>
          <w:rFonts w:ascii="Calibri" w:hAnsi="Calibri"/>
          <w:b w:val="0"/>
          <w:color w:val="44474F"/>
          <w:sz w:val="32"/>
        </w:rPr>
        <w:t>Architecture &amp; Technical Overview</w:t>
      </w:r>
    </w:p>
    <w:p>
      <w:pPr>
        <w:spacing w:before="80" w:after="80"/>
        <w:pBdr>
          <w:bottom w:val="single" w:sz="12" w:space="1" w:color="1F3864"/>
        </w:pBdr>
      </w:pP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513"/>
        <w:gridCol w:w="4513"/>
      </w:tblGrid>
      <w:tr>
        <w:tc>
          <w:tcPr>
            <w:tcW w:type="dxa" w:w="2551"/>
            <w:shd w:val="clear" w:color="auto" w:fill="EEF2F8"/>
          </w:tcPr>
          <w:p>
            <w:pPr>
              <w:spacing w:before="80" w:after="80"/>
            </w:pPr>
            <w:r>
              <w:rPr>
                <w:rFonts w:ascii="Calibri" w:hAnsi="Calibri"/>
                <w:b/>
                <w:i w:val="0"/>
                <w:color w:val="1F3864"/>
                <w:sz w:val="22"/>
              </w:rPr>
              <w:t>Prepared for</w:t>
            </w:r>
          </w:p>
        </w:tc>
        <w:tc>
          <w:tcPr>
            <w:tcW w:type="dxa" w:w="6236"/>
            <w:shd w:val="clear" w:color="auto" w:fill="FFFFFF"/>
          </w:tcPr>
          <w:p>
            <w:pPr>
              <w:spacing w:before="80" w:after="80"/>
            </w:pPr>
            <w:r>
              <w:rPr>
                <w:rFonts w:ascii="Calibri" w:hAnsi="Calibri"/>
                <w:b w:val="0"/>
                <w:i w:val="0"/>
                <w:sz w:val="22"/>
              </w:rPr>
              <w:t>Rolls-Royce Digital Team</w:t>
            </w:r>
          </w:p>
        </w:tc>
      </w:tr>
      <w:tr>
        <w:tc>
          <w:tcPr>
            <w:tcW w:type="dxa" w:w="2551"/>
            <w:shd w:val="clear" w:color="auto" w:fill="EEF2F8"/>
          </w:tcPr>
          <w:p>
            <w:pPr>
              <w:spacing w:before="80" w:after="80"/>
            </w:pPr>
            <w:r>
              <w:rPr>
                <w:rFonts w:ascii="Calibri" w:hAnsi="Calibri"/>
                <w:b/>
                <w:i w:val="0"/>
                <w:color w:val="1F3864"/>
                <w:sz w:val="22"/>
              </w:rPr>
              <w:t>Version</w:t>
            </w:r>
          </w:p>
        </w:tc>
        <w:tc>
          <w:tcPr>
            <w:tcW w:type="dxa" w:w="6236"/>
            <w:shd w:val="clear" w:color="auto" w:fill="FFFFFF"/>
          </w:tcPr>
          <w:p>
            <w:pPr>
              <w:spacing w:before="80" w:after="80"/>
            </w:pPr>
            <w:r>
              <w:rPr>
                <w:rFonts w:ascii="Calibri" w:hAnsi="Calibri"/>
                <w:b w:val="0"/>
                <w:i w:val="0"/>
                <w:sz w:val="22"/>
              </w:rPr>
              <w:t>Rev 7</w:t>
            </w:r>
          </w:p>
        </w:tc>
      </w:tr>
      <w:tr>
        <w:tc>
          <w:tcPr>
            <w:tcW w:type="dxa" w:w="2551"/>
            <w:shd w:val="clear" w:color="auto" w:fill="EEF2F8"/>
          </w:tcPr>
          <w:p>
            <w:pPr>
              <w:spacing w:before="80" w:after="80"/>
            </w:pPr>
            <w:r>
              <w:rPr>
                <w:rFonts w:ascii="Calibri" w:hAnsi="Calibri"/>
                <w:b/>
                <w:i w:val="0"/>
                <w:color w:val="1F3864"/>
                <w:sz w:val="22"/>
              </w:rPr>
              <w:t>Date</w:t>
            </w:r>
          </w:p>
        </w:tc>
        <w:tc>
          <w:tcPr>
            <w:tcW w:type="dxa" w:w="6236"/>
            <w:shd w:val="clear" w:color="auto" w:fill="FFFFFF"/>
          </w:tcPr>
          <w:p>
            <w:pPr>
              <w:spacing w:before="80" w:after="80"/>
            </w:pPr>
            <w:r>
              <w:rPr>
                <w:rFonts w:ascii="Calibri" w:hAnsi="Calibri"/>
                <w:b w:val="0"/>
                <w:i w:val="0"/>
                <w:sz w:val="22"/>
              </w:rPr>
              <w:t>29 May 2026</w:t>
            </w:r>
          </w:p>
        </w:tc>
      </w:tr>
    </w:tbl>
    <w:p>
      <w:pPr>
        <w:spacing w:before="80" w:after="80"/>
        <w:pBdr>
          <w:bottom w:val="single" w:sz="6" w:space="1" w:color="1F3864"/>
        </w:pBdr>
      </w:pPr>
    </w:p>
    <w:p>
      <w:pPr>
        <w:spacing w:after="240"/>
      </w:pPr>
    </w:p>
    <w:p>
      <w:r>
        <w:br w:type="page"/>
      </w:r>
    </w:p>
    <w:p>
      <w:pPr>
        <w:pStyle w:val="Heading1"/>
        <w:spacing w:before="240" w:after="80"/>
      </w:pPr>
      <w:r>
        <w:t>1.  Purpose &amp; Intent</w:t>
      </w:r>
    </w:p>
    <w:p>
      <w:pPr>
        <w:spacing w:after="80" w:before="0"/>
      </w:pPr>
      <w:r>
        <w:rPr>
          <w:rFonts w:ascii="Calibri" w:hAnsi="Calibri"/>
          <w:sz w:val="22"/>
        </w:rPr>
        <w:t>The Test &amp; Inspection Plan (TIP) application is a standalone Windows desktop tool designed to digitalise and streamline the creation, review, and approval of Test &amp; Inspection Plans within a manufacturing quality assurance workflow.</w:t>
      </w:r>
    </w:p>
    <w:p>
      <w:pPr>
        <w:spacing w:after="80" w:before="0"/>
      </w:pPr>
      <w:r>
        <w:rPr>
          <w:rFonts w:ascii="Calibri" w:hAnsi="Calibri"/>
          <w:sz w:val="22"/>
        </w:rPr>
        <w:t>The application replaces a legacy Excel/VBA-based process, providing a structured two-role workflow that separates the responsibilities of the Plan Author from the TAR (Technical Authority Representative) Holder, eliminating the risk of unintended data crossover between roles.</w:t>
      </w:r>
    </w:p>
    <w:p>
      <w:pPr>
        <w:pStyle w:val="Heading2"/>
        <w:spacing w:before="240" w:after="80"/>
      </w:pPr>
      <w:r>
        <w:t>Key Objectives</w:t>
      </w:r>
    </w:p>
    <w:p>
      <w:pPr>
        <w:pStyle w:val="ListBullet"/>
        <w:spacing w:after="40" w:before="20"/>
      </w:pPr>
      <w:r>
        <w:rPr>
          <w:rFonts w:ascii="Calibri" w:hAnsi="Calibri"/>
          <w:b w:val="0"/>
          <w:i w:val="0"/>
          <w:sz w:val="22"/>
        </w:rPr>
        <w:t>Guided, step-by-step plan creation for the Author</w:t>
      </w:r>
    </w:p>
    <w:p>
      <w:pPr>
        <w:pStyle w:val="ListBullet"/>
        <w:spacing w:after="40" w:before="20"/>
      </w:pPr>
      <w:r>
        <w:rPr>
          <w:rFonts w:ascii="Calibri" w:hAnsi="Calibri"/>
          <w:b w:val="0"/>
          <w:i w:val="0"/>
          <w:sz w:val="22"/>
        </w:rPr>
        <w:t>Clear separation: the Author never sees TAR assessment fields; the TAR Holder never sees Author editing controls</w:t>
      </w:r>
    </w:p>
    <w:p>
      <w:pPr>
        <w:pStyle w:val="ListBullet"/>
        <w:spacing w:after="40" w:before="20"/>
      </w:pPr>
      <w:r>
        <w:rPr>
          <w:rFonts w:ascii="Calibri" w:hAnsi="Calibri"/>
          <w:b w:val="0"/>
          <w:i w:val="0"/>
          <w:sz w:val="22"/>
        </w:rPr>
        <w:t>Structured handoff via a portable .tip file (JSON format)</w:t>
      </w:r>
    </w:p>
    <w:p>
      <w:pPr>
        <w:pStyle w:val="ListBullet"/>
        <w:spacing w:after="40" w:before="20"/>
      </w:pPr>
      <w:r>
        <w:rPr>
          <w:rFonts w:ascii="Calibri" w:hAnsi="Calibri"/>
          <w:b w:val="0"/>
          <w:i w:val="0"/>
          <w:sz w:val="22"/>
        </w:rPr>
        <w:t>PDF export with TAR Holder identity details and a placeholder for a digital certificate signature</w:t>
      </w:r>
    </w:p>
    <w:p>
      <w:pPr>
        <w:pStyle w:val="ListBullet"/>
        <w:spacing w:after="40" w:before="20"/>
      </w:pPr>
      <w:r>
        <w:rPr>
          <w:rFonts w:ascii="Calibri" w:hAnsi="Calibri"/>
          <w:b w:val="0"/>
          <w:i w:val="0"/>
          <w:sz w:val="22"/>
        </w:rPr>
        <w:t>Outlook email integration for both the Author-to-TAR and TAR-to-Author handoff steps</w:t>
      </w:r>
    </w:p>
    <w:p>
      <w:pPr>
        <w:pStyle w:val="Heading1"/>
        <w:spacing w:before="240" w:after="80"/>
      </w:pPr>
      <w:r>
        <w:t>2.  Technology Stack</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2551"/>
            <w:shd w:val="clear" w:color="auto" w:fill="1F3864"/>
            <w:vAlign w:val="center"/>
          </w:tcPr>
          <w:p>
            <w:pPr>
              <w:spacing w:before="60" w:after="60"/>
              <w:jc w:val="left"/>
            </w:pPr>
            <w:r>
              <w:rPr>
                <w:rFonts w:ascii="Calibri" w:hAnsi="Calibri"/>
                <w:b/>
                <w:i w:val="0"/>
                <w:color w:val="FFFFFF"/>
                <w:sz w:val="20"/>
              </w:rPr>
              <w:t>Component</w:t>
            </w:r>
          </w:p>
        </w:tc>
        <w:tc>
          <w:tcPr>
            <w:tcW w:type="dxa" w:w="2835"/>
            <w:shd w:val="clear" w:color="auto" w:fill="1F3864"/>
            <w:vAlign w:val="center"/>
          </w:tcPr>
          <w:p>
            <w:pPr>
              <w:spacing w:before="60" w:after="60"/>
              <w:jc w:val="left"/>
            </w:pPr>
            <w:r>
              <w:rPr>
                <w:rFonts w:ascii="Calibri" w:hAnsi="Calibri"/>
                <w:b/>
                <w:i w:val="0"/>
                <w:color w:val="FFFFFF"/>
                <w:sz w:val="20"/>
              </w:rPr>
              <w:t>Technology</w:t>
            </w:r>
          </w:p>
        </w:tc>
        <w:tc>
          <w:tcPr>
            <w:tcW w:type="dxa" w:w="3402"/>
            <w:shd w:val="clear" w:color="auto" w:fill="1F3864"/>
            <w:vAlign w:val="center"/>
          </w:tcPr>
          <w:p>
            <w:pPr>
              <w:spacing w:before="60" w:after="60"/>
              <w:jc w:val="left"/>
            </w:pPr>
            <w:r>
              <w:rPr>
                <w:rFonts w:ascii="Calibri" w:hAnsi="Calibri"/>
                <w:b/>
                <w:i w:val="0"/>
                <w:color w:val="FFFFFF"/>
                <w:sz w:val="20"/>
              </w:rPr>
              <w:t>Notes</w:t>
            </w:r>
          </w:p>
        </w:tc>
      </w:tr>
      <w:tr>
        <w:tc>
          <w:tcPr>
            <w:tcW w:type="dxa" w:w="2551"/>
            <w:shd w:val="clear" w:color="auto" w:fill="FFFFFF"/>
            <w:vAlign w:val="center"/>
          </w:tcPr>
          <w:p>
            <w:pPr>
              <w:spacing w:before="40" w:after="40"/>
              <w:jc w:val="left"/>
            </w:pPr>
            <w:r>
              <w:rPr>
                <w:rFonts w:ascii="Calibri" w:hAnsi="Calibri"/>
                <w:b w:val="0"/>
                <w:i w:val="0"/>
                <w:sz w:val="20"/>
              </w:rPr>
              <w:t>Language</w:t>
            </w:r>
          </w:p>
        </w:tc>
        <w:tc>
          <w:tcPr>
            <w:tcW w:type="dxa" w:w="2835"/>
            <w:shd w:val="clear" w:color="auto" w:fill="FFFFFF"/>
            <w:vAlign w:val="center"/>
          </w:tcPr>
          <w:p>
            <w:pPr>
              <w:spacing w:before="40" w:after="40"/>
              <w:jc w:val="left"/>
            </w:pPr>
            <w:r>
              <w:rPr>
                <w:rFonts w:ascii="Calibri" w:hAnsi="Calibri"/>
                <w:b w:val="0"/>
                <w:i w:val="0"/>
                <w:sz w:val="20"/>
              </w:rPr>
              <w:t>Python 3.12</w:t>
            </w:r>
          </w:p>
        </w:tc>
        <w:tc>
          <w:tcPr>
            <w:tcW w:type="dxa" w:w="3402"/>
            <w:shd w:val="clear" w:color="auto" w:fill="FFFFFF"/>
            <w:vAlign w:val="center"/>
          </w:tcPr>
          <w:p>
            <w:pPr>
              <w:spacing w:before="40" w:after="40"/>
              <w:jc w:val="left"/>
            </w:pPr>
            <w:r>
              <w:rPr>
                <w:rFonts w:ascii="Calibri" w:hAnsi="Calibri"/>
                <w:b w:val="0"/>
                <w:i w:val="0"/>
                <w:sz w:val="20"/>
              </w:rPr>
            </w:r>
          </w:p>
        </w:tc>
      </w:tr>
      <w:tr>
        <w:tc>
          <w:tcPr>
            <w:tcW w:type="dxa" w:w="2551"/>
            <w:shd w:val="clear" w:color="auto" w:fill="F7F9FC"/>
            <w:vAlign w:val="center"/>
          </w:tcPr>
          <w:p>
            <w:pPr>
              <w:spacing w:before="40" w:after="40"/>
              <w:jc w:val="left"/>
            </w:pPr>
            <w:r>
              <w:rPr>
                <w:rFonts w:ascii="Calibri" w:hAnsi="Calibri"/>
                <w:b w:val="0"/>
                <w:i w:val="0"/>
                <w:sz w:val="20"/>
              </w:rPr>
              <w:t>GUI Framework</w:t>
            </w:r>
          </w:p>
        </w:tc>
        <w:tc>
          <w:tcPr>
            <w:tcW w:type="dxa" w:w="2835"/>
            <w:shd w:val="clear" w:color="auto" w:fill="F7F9FC"/>
            <w:vAlign w:val="center"/>
          </w:tcPr>
          <w:p>
            <w:pPr>
              <w:spacing w:before="40" w:after="40"/>
              <w:jc w:val="left"/>
            </w:pPr>
            <w:r>
              <w:rPr>
                <w:rFonts w:ascii="Calibri" w:hAnsi="Calibri"/>
                <w:b w:val="0"/>
                <w:i w:val="0"/>
                <w:sz w:val="20"/>
              </w:rPr>
              <w:t>customtkinter 5.2+</w:t>
            </w:r>
          </w:p>
        </w:tc>
        <w:tc>
          <w:tcPr>
            <w:tcW w:type="dxa" w:w="3402"/>
            <w:shd w:val="clear" w:color="auto" w:fill="F7F9FC"/>
            <w:vAlign w:val="center"/>
          </w:tcPr>
          <w:p>
            <w:pPr>
              <w:spacing w:before="40" w:after="40"/>
              <w:jc w:val="left"/>
            </w:pPr>
            <w:r>
              <w:rPr>
                <w:rFonts w:ascii="Calibri" w:hAnsi="Calibri"/>
                <w:b w:val="0"/>
                <w:i w:val="0"/>
                <w:sz w:val="20"/>
              </w:rPr>
              <w:t>Modern themed tkinter wrapper</w:t>
            </w:r>
          </w:p>
        </w:tc>
      </w:tr>
      <w:tr>
        <w:tc>
          <w:tcPr>
            <w:tcW w:type="dxa" w:w="2551"/>
            <w:shd w:val="clear" w:color="auto" w:fill="FFFFFF"/>
            <w:vAlign w:val="center"/>
          </w:tcPr>
          <w:p>
            <w:pPr>
              <w:spacing w:before="40" w:after="40"/>
              <w:jc w:val="left"/>
            </w:pPr>
            <w:r>
              <w:rPr>
                <w:rFonts w:ascii="Calibri" w:hAnsi="Calibri"/>
                <w:b w:val="0"/>
                <w:i w:val="0"/>
                <w:sz w:val="20"/>
              </w:rPr>
              <w:t>Excel Import</w:t>
            </w:r>
          </w:p>
        </w:tc>
        <w:tc>
          <w:tcPr>
            <w:tcW w:type="dxa" w:w="2835"/>
            <w:shd w:val="clear" w:color="auto" w:fill="FFFFFF"/>
            <w:vAlign w:val="center"/>
          </w:tcPr>
          <w:p>
            <w:pPr>
              <w:spacing w:before="40" w:after="40"/>
              <w:jc w:val="left"/>
            </w:pPr>
            <w:r>
              <w:rPr>
                <w:rFonts w:ascii="Calibri" w:hAnsi="Calibri"/>
                <w:b w:val="0"/>
                <w:i w:val="0"/>
                <w:sz w:val="20"/>
              </w:rPr>
              <w:t>openpyxl 3.1+</w:t>
            </w:r>
          </w:p>
        </w:tc>
        <w:tc>
          <w:tcPr>
            <w:tcW w:type="dxa" w:w="3402"/>
            <w:shd w:val="clear" w:color="auto" w:fill="FFFFFF"/>
            <w:vAlign w:val="center"/>
          </w:tcPr>
          <w:p>
            <w:pPr>
              <w:spacing w:before="40" w:after="40"/>
              <w:jc w:val="left"/>
            </w:pPr>
            <w:r>
              <w:rPr>
                <w:rFonts w:ascii="Calibri" w:hAnsi="Calibri"/>
                <w:b w:val="0"/>
                <w:i w:val="0"/>
                <w:sz w:val="20"/>
              </w:rPr>
              <w:t>NetInspect file parsing</w:t>
            </w:r>
          </w:p>
        </w:tc>
      </w:tr>
      <w:tr>
        <w:tc>
          <w:tcPr>
            <w:tcW w:type="dxa" w:w="2551"/>
            <w:shd w:val="clear" w:color="auto" w:fill="F7F9FC"/>
            <w:vAlign w:val="center"/>
          </w:tcPr>
          <w:p>
            <w:pPr>
              <w:spacing w:before="40" w:after="40"/>
              <w:jc w:val="left"/>
            </w:pPr>
            <w:r>
              <w:rPr>
                <w:rFonts w:ascii="Calibri" w:hAnsi="Calibri"/>
                <w:b w:val="0"/>
                <w:i w:val="0"/>
                <w:sz w:val="20"/>
              </w:rPr>
              <w:t>PDF Generation</w:t>
            </w:r>
          </w:p>
        </w:tc>
        <w:tc>
          <w:tcPr>
            <w:tcW w:type="dxa" w:w="2835"/>
            <w:shd w:val="clear" w:color="auto" w:fill="F7F9FC"/>
            <w:vAlign w:val="center"/>
          </w:tcPr>
          <w:p>
            <w:pPr>
              <w:spacing w:before="40" w:after="40"/>
              <w:jc w:val="left"/>
            </w:pPr>
            <w:r>
              <w:rPr>
                <w:rFonts w:ascii="Calibri" w:hAnsi="Calibri"/>
                <w:b w:val="0"/>
                <w:i w:val="0"/>
                <w:sz w:val="20"/>
              </w:rPr>
              <w:t>ReportLab 4.0+</w:t>
            </w:r>
          </w:p>
        </w:tc>
        <w:tc>
          <w:tcPr>
            <w:tcW w:type="dxa" w:w="3402"/>
            <w:shd w:val="clear" w:color="auto" w:fill="F7F9FC"/>
            <w:vAlign w:val="center"/>
          </w:tcPr>
          <w:p>
            <w:pPr>
              <w:spacing w:before="40" w:after="40"/>
              <w:jc w:val="left"/>
            </w:pPr>
            <w:r>
              <w:rPr>
                <w:rFonts w:ascii="Calibri" w:hAnsi="Calibri"/>
                <w:b w:val="0"/>
                <w:i w:val="0"/>
                <w:sz w:val="20"/>
              </w:rPr>
              <w:t>A4 layout, colour-matched to Excel original</w:t>
            </w:r>
          </w:p>
        </w:tc>
      </w:tr>
      <w:tr>
        <w:tc>
          <w:tcPr>
            <w:tcW w:type="dxa" w:w="2551"/>
            <w:shd w:val="clear" w:color="auto" w:fill="FFFFFF"/>
            <w:vAlign w:val="center"/>
          </w:tcPr>
          <w:p>
            <w:pPr>
              <w:spacing w:before="40" w:after="40"/>
              <w:jc w:val="left"/>
            </w:pPr>
            <w:r>
              <w:rPr>
                <w:rFonts w:ascii="Calibri" w:hAnsi="Calibri"/>
                <w:b w:val="0"/>
                <w:i w:val="0"/>
                <w:sz w:val="20"/>
              </w:rPr>
              <w:t>Email Integration</w:t>
            </w:r>
          </w:p>
        </w:tc>
        <w:tc>
          <w:tcPr>
            <w:tcW w:type="dxa" w:w="2835"/>
            <w:shd w:val="clear" w:color="auto" w:fill="FFFFFF"/>
            <w:vAlign w:val="center"/>
          </w:tcPr>
          <w:p>
            <w:pPr>
              <w:spacing w:before="40" w:after="40"/>
              <w:jc w:val="left"/>
            </w:pPr>
            <w:r>
              <w:rPr>
                <w:rFonts w:ascii="Calibri" w:hAnsi="Calibri"/>
                <w:b w:val="0"/>
                <w:i w:val="0"/>
                <w:sz w:val="20"/>
              </w:rPr>
              <w:t>pywin32 (win32com)</w:t>
            </w:r>
          </w:p>
        </w:tc>
        <w:tc>
          <w:tcPr>
            <w:tcW w:type="dxa" w:w="3402"/>
            <w:shd w:val="clear" w:color="auto" w:fill="FFFFFF"/>
            <w:vAlign w:val="center"/>
          </w:tcPr>
          <w:p>
            <w:pPr>
              <w:spacing w:before="40" w:after="40"/>
              <w:jc w:val="left"/>
            </w:pPr>
            <w:r>
              <w:rPr>
                <w:rFonts w:ascii="Calibri" w:hAnsi="Calibri"/>
                <w:b w:val="0"/>
                <w:i w:val="0"/>
                <w:sz w:val="20"/>
              </w:rPr>
              <w:t>Windows Outlook COM automation</w:t>
            </w:r>
          </w:p>
        </w:tc>
      </w:tr>
      <w:tr>
        <w:tc>
          <w:tcPr>
            <w:tcW w:type="dxa" w:w="2551"/>
            <w:shd w:val="clear" w:color="auto" w:fill="F7F9FC"/>
            <w:vAlign w:val="center"/>
          </w:tcPr>
          <w:p>
            <w:pPr>
              <w:spacing w:before="40" w:after="40"/>
              <w:jc w:val="left"/>
            </w:pPr>
            <w:r>
              <w:rPr>
                <w:rFonts w:ascii="Calibri" w:hAnsi="Calibri"/>
                <w:b w:val="0"/>
                <w:i w:val="0"/>
                <w:sz w:val="20"/>
              </w:rPr>
              <w:t>Distribution</w:t>
            </w:r>
          </w:p>
        </w:tc>
        <w:tc>
          <w:tcPr>
            <w:tcW w:type="dxa" w:w="2835"/>
            <w:shd w:val="clear" w:color="auto" w:fill="F7F9FC"/>
            <w:vAlign w:val="center"/>
          </w:tcPr>
          <w:p>
            <w:pPr>
              <w:spacing w:before="40" w:after="40"/>
              <w:jc w:val="left"/>
            </w:pPr>
            <w:r>
              <w:rPr>
                <w:rFonts w:ascii="Calibri" w:hAnsi="Calibri"/>
                <w:b w:val="0"/>
                <w:i w:val="0"/>
                <w:sz w:val="20"/>
              </w:rPr>
              <w:t>PyInstaller</w:t>
            </w:r>
          </w:p>
        </w:tc>
        <w:tc>
          <w:tcPr>
            <w:tcW w:type="dxa" w:w="3402"/>
            <w:shd w:val="clear" w:color="auto" w:fill="F7F9FC"/>
            <w:vAlign w:val="center"/>
          </w:tcPr>
          <w:p>
            <w:pPr>
              <w:spacing w:before="40" w:after="40"/>
              <w:jc w:val="left"/>
            </w:pPr>
            <w:r>
              <w:rPr>
                <w:rFonts w:ascii="Calibri" w:hAnsi="Calibri"/>
                <w:b w:val="0"/>
                <w:i w:val="0"/>
                <w:sz w:val="20"/>
              </w:rPr>
              <w:t>Single-file .exe, no Python install required</w:t>
            </w:r>
          </w:p>
        </w:tc>
      </w:tr>
      <w:tr>
        <w:tc>
          <w:tcPr>
            <w:tcW w:type="dxa" w:w="2551"/>
            <w:shd w:val="clear" w:color="auto" w:fill="FFFFFF"/>
            <w:vAlign w:val="center"/>
          </w:tcPr>
          <w:p>
            <w:pPr>
              <w:spacing w:before="40" w:after="40"/>
              <w:jc w:val="left"/>
            </w:pPr>
            <w:r>
              <w:rPr>
                <w:rFonts w:ascii="Calibri" w:hAnsi="Calibri"/>
                <w:b w:val="0"/>
                <w:i w:val="0"/>
                <w:sz w:val="20"/>
              </w:rPr>
              <w:t>File Format</w:t>
            </w:r>
          </w:p>
        </w:tc>
        <w:tc>
          <w:tcPr>
            <w:tcW w:type="dxa" w:w="2835"/>
            <w:shd w:val="clear" w:color="auto" w:fill="FFFFFF"/>
            <w:vAlign w:val="center"/>
          </w:tcPr>
          <w:p>
            <w:pPr>
              <w:spacing w:before="40" w:after="40"/>
              <w:jc w:val="left"/>
            </w:pPr>
            <w:r>
              <w:rPr>
                <w:rFonts w:ascii="Calibri" w:hAnsi="Calibri"/>
                <w:b w:val="0"/>
                <w:i w:val="0"/>
                <w:sz w:val="20"/>
              </w:rPr>
              <w:t>JSON (.tip)</w:t>
            </w:r>
          </w:p>
        </w:tc>
        <w:tc>
          <w:tcPr>
            <w:tcW w:type="dxa" w:w="3402"/>
            <w:shd w:val="clear" w:color="auto" w:fill="FFFFFF"/>
            <w:vAlign w:val="center"/>
          </w:tcPr>
          <w:p>
            <w:pPr>
              <w:spacing w:before="40" w:after="40"/>
              <w:jc w:val="left"/>
            </w:pPr>
            <w:r>
              <w:rPr>
                <w:rFonts w:ascii="Calibri" w:hAnsi="Calibri"/>
                <w:b w:val="0"/>
                <w:i w:val="0"/>
                <w:sz w:val="20"/>
              </w:rPr>
              <w:t>Human-readable, version-tagged plan files</w:t>
            </w:r>
          </w:p>
        </w:tc>
      </w:tr>
    </w:tbl>
    <w:p>
      <w:pPr>
        <w:pStyle w:val="Heading1"/>
        <w:spacing w:before="240" w:after="80"/>
      </w:pPr>
      <w:r>
        <w:t>3.  Application Architecture</w:t>
      </w:r>
    </w:p>
    <w:p>
      <w:pPr>
        <w:spacing w:after="80" w:before="0"/>
      </w:pPr>
      <w:r>
        <w:rPr>
          <w:rFonts w:ascii="Calibri" w:hAnsi="Calibri"/>
          <w:sz w:val="22"/>
        </w:rPr>
        <w:t>The application uses a single-window shell (TIPApp) that swaps between three role-based views. There are no tabs visible across roles — each role sees only the interface relevant to them.</w:t>
      </w:r>
    </w:p>
    <w:p>
      <w:pPr>
        <w:pStyle w:val="Heading2"/>
        <w:spacing w:before="240" w:after="80"/>
      </w:pPr>
      <w:r>
        <w:t>3.1  View Hierarchy</w:t>
      </w:r>
    </w:p>
    <w:p>
      <w:pPr>
        <w:spacing w:after="80" w:before="0"/>
      </w:pPr>
      <w:r>
        <w:rPr>
          <w:rFonts w:ascii="Calibri" w:hAnsi="Calibri"/>
          <w:sz w:val="22"/>
        </w:rPr>
        <w:t>TIPApp is the main window shell. It manages the header, status bar, and content area; routes between views based on user action; and houses the Home button and role mode badge.</w:t>
      </w:r>
    </w:p>
    <w:p>
      <w:pPr>
        <w:pStyle w:val="ListBullet"/>
        <w:spacing w:after="40" w:before="20"/>
      </w:pPr>
      <w:r>
        <w:rPr>
          <w:rFonts w:ascii="Calibri" w:hAnsi="Calibri"/>
          <w:b w:val="0"/>
          <w:i w:val="0"/>
          <w:sz w:val="22"/>
        </w:rPr>
        <w:t>LaunchView — the home screen</w:t>
      </w:r>
    </w:p>
    <w:p>
      <w:pPr>
        <w:pStyle w:val="ListBullet2"/>
        <w:spacing w:after="40" w:before="20"/>
      </w:pPr>
      <w:r>
        <w:rPr>
          <w:rFonts w:ascii="Calibri" w:hAnsi="Calibri"/>
          <w:b w:val="0"/>
          <w:i w:val="0"/>
          <w:sz w:val="22"/>
        </w:rPr>
        <w:t>Entry point on application start</w:t>
      </w:r>
    </w:p>
    <w:p>
      <w:pPr>
        <w:pStyle w:val="ListBullet2"/>
        <w:spacing w:after="40" w:before="20"/>
      </w:pPr>
      <w:r>
        <w:rPr>
          <w:rFonts w:ascii="Calibri" w:hAnsi="Calibri"/>
          <w:b w:val="0"/>
          <w:i w:val="0"/>
          <w:sz w:val="22"/>
        </w:rPr>
        <w:t>Two paths: Create New Plan (→ AuthorView) or Open Existing Plan (→ role selection dialog → appropriate view)</w:t>
      </w:r>
    </w:p>
    <w:p/>
    <w:p>
      <w:pPr>
        <w:pStyle w:val="ListBullet"/>
        <w:spacing w:after="40" w:before="20"/>
      </w:pPr>
      <w:r>
        <w:rPr>
          <w:rFonts w:ascii="Calibri" w:hAnsi="Calibri"/>
          <w:b w:val="0"/>
          <w:i w:val="0"/>
          <w:sz w:val="22"/>
        </w:rPr>
        <w:t>AuthorView — 3-step guided flow</w:t>
      </w:r>
    </w:p>
    <w:p>
      <w:pPr>
        <w:pStyle w:val="ListBullet2"/>
        <w:spacing w:after="40" w:before="20"/>
      </w:pPr>
      <w:r>
        <w:rPr>
          <w:rFonts w:ascii="Calibri" w:hAnsi="Calibri"/>
          <w:b w:val="0"/>
          <w:i w:val="0"/>
          <w:sz w:val="22"/>
        </w:rPr>
        <w:t>Step 1: Plan Details</w:t>
      </w:r>
    </w:p>
    <w:p>
      <w:pPr>
        <w:pStyle w:val="ListBullet2"/>
        <w:spacing w:after="40" w:before="20"/>
      </w:pPr>
      <w:r>
        <w:rPr>
          <w:rFonts w:ascii="Calibri" w:hAnsi="Calibri"/>
          <w:b w:val="0"/>
          <w:i w:val="0"/>
          <w:sz w:val="22"/>
        </w:rPr>
        <w:t>Step 2: Inspection Cards</w:t>
      </w:r>
    </w:p>
    <w:p>
      <w:pPr>
        <w:pStyle w:val="ListBullet2"/>
        <w:spacing w:after="40" w:before="20"/>
      </w:pPr>
      <w:r>
        <w:rPr>
          <w:rFonts w:ascii="Calibri" w:hAnsi="Calibri"/>
          <w:b w:val="0"/>
          <w:i w:val="0"/>
          <w:sz w:val="22"/>
        </w:rPr>
        <w:t>Step 3: Send to TAR Holder</w:t>
      </w:r>
    </w:p>
    <w:p/>
    <w:p>
      <w:pPr>
        <w:pStyle w:val="ListBullet"/>
        <w:spacing w:after="40" w:before="20"/>
      </w:pPr>
      <w:r>
        <w:rPr>
          <w:rFonts w:ascii="Calibri" w:hAnsi="Calibri"/>
          <w:b w:val="0"/>
          <w:i w:val="0"/>
          <w:sz w:val="22"/>
        </w:rPr>
        <w:t>TARHolderView — TAR review and approval interface</w:t>
      </w:r>
    </w:p>
    <w:p>
      <w:pPr>
        <w:pStyle w:val="ListBullet2"/>
        <w:spacing w:after="40" w:before="20"/>
      </w:pPr>
      <w:r>
        <w:rPr>
          <w:rFonts w:ascii="Calibri" w:hAnsi="Calibri"/>
          <w:b w:val="0"/>
          <w:i w:val="0"/>
          <w:sz w:val="22"/>
        </w:rPr>
        <w:t>Instruction banner</w:t>
      </w:r>
    </w:p>
    <w:p>
      <w:pPr>
        <w:pStyle w:val="ListBullet2"/>
        <w:spacing w:after="40" w:before="20"/>
      </w:pPr>
      <w:r>
        <w:rPr>
          <w:rFonts w:ascii="Calibri" w:hAnsi="Calibri"/>
          <w:b w:val="0"/>
          <w:i w:val="0"/>
          <w:sz w:val="22"/>
        </w:rPr>
        <w:t>Read-only plan info</w:t>
      </w:r>
    </w:p>
    <w:p>
      <w:pPr>
        <w:pStyle w:val="ListBullet2"/>
        <w:spacing w:after="40" w:before="20"/>
      </w:pPr>
      <w:r>
        <w:rPr>
          <w:rFonts w:ascii="Calibri" w:hAnsi="Calibri"/>
          <w:b w:val="0"/>
          <w:i w:val="0"/>
          <w:sz w:val="22"/>
        </w:rPr>
        <w:t>TAR Holder identity details (name, date, employer number)</w:t>
      </w:r>
    </w:p>
    <w:p>
      <w:pPr>
        <w:pStyle w:val="ListBullet2"/>
        <w:spacing w:after="40" w:before="20"/>
      </w:pPr>
      <w:r>
        <w:rPr>
          <w:rFonts w:ascii="Calibri" w:hAnsi="Calibri"/>
          <w:b w:val="0"/>
          <w:i w:val="0"/>
          <w:sz w:val="22"/>
        </w:rPr>
        <w:t>Card list + TAR assessment fields panel</w:t>
      </w:r>
    </w:p>
    <w:p>
      <w:pPr>
        <w:pStyle w:val="ListBullet2"/>
        <w:spacing w:after="40" w:before="20"/>
      </w:pPr>
      <w:r>
        <w:rPr>
          <w:rFonts w:ascii="Calibri" w:hAnsi="Calibri"/>
          <w:b w:val="0"/>
          <w:i w:val="0"/>
          <w:sz w:val="22"/>
        </w:rPr>
        <w:t>Save / Export / Email actions</w:t>
      </w:r>
    </w:p>
    <w:p>
      <w:pPr>
        <w:pStyle w:val="Heading2"/>
        <w:spacing w:before="240" w:after="80"/>
      </w:pPr>
      <w:r>
        <w:t>3.2  Role Routing</w:t>
      </w:r>
    </w:p>
    <w:p>
      <w:pPr>
        <w:spacing w:after="80" w:before="0"/>
      </w:pPr>
      <w:r>
        <w:rPr>
          <w:rFonts w:ascii="Calibri" w:hAnsi="Calibri"/>
          <w:sz w:val="22"/>
        </w:rPr>
        <w:t>When a user clicks "Open Existing Plan", a RoleDialog asks whether they are opening as Author or TAR Holder. This determines which view is loaded. There is no authentication — the separation is enforced by the UI itself and the distinct views each role sees.</w:t>
      </w:r>
    </w:p>
    <w:p>
      <w:pPr>
        <w:pStyle w:val="Heading2"/>
        <w:spacing w:before="240" w:after="80"/>
      </w:pPr>
      <w:r>
        <w:t>3.3  Data Flow</w:t>
      </w:r>
    </w:p>
    <w:p>
      <w:pPr>
        <w:spacing w:before="80" w:after="0"/>
        <w:ind w:left="170" w:right="170"/>
        <w:shd w:val="clear" w:color="auto" w:fill="F4F4F4"/>
        <w:pBdr>
          <w:left w:val="single" w:sz="20" w:space="4" w:color="1F3864"/>
        </w:pBdr>
      </w:pPr>
      <w:r>
        <w:rPr>
          <w:rFonts w:ascii="Courier New" w:hAnsi="Courier New"/>
          <w:color w:val="1A1A1A"/>
          <w:sz w:val="18"/>
        </w:rPr>
        <w:t>Author creates plan (AuthorView Steps 1–2)</w:t>
      </w:r>
    </w:p>
    <w:p>
      <w:pPr>
        <w:spacing w:before="0" w:after="0"/>
        <w:ind w:left="170" w:right="170"/>
        <w:shd w:val="clear" w:color="auto" w:fill="F4F4F4"/>
      </w:pPr>
      <w:r>
        <w:rPr>
          <w:rFonts w:ascii="Courier New" w:hAnsi="Courier New"/>
          <w:color w:val="1A1A1A"/>
          <w:sz w:val="18"/>
        </w:rPr>
        <w:t xml:space="preserve">        ↓</w:t>
      </w:r>
    </w:p>
    <w:p>
      <w:pPr>
        <w:spacing w:before="0" w:after="0"/>
        <w:ind w:left="170" w:right="170"/>
        <w:shd w:val="clear" w:color="auto" w:fill="F4F4F4"/>
      </w:pPr>
      <w:r>
        <w:rPr>
          <w:rFonts w:ascii="Courier New" w:hAnsi="Courier New"/>
          <w:color w:val="1A1A1A"/>
          <w:sz w:val="18"/>
        </w:rPr>
        <w:t>Author sends .tip file + Draft PDF via Outlook (Step 3)</w:t>
      </w:r>
    </w:p>
    <w:p>
      <w:pPr>
        <w:spacing w:before="0" w:after="0"/>
        <w:ind w:left="170" w:right="170"/>
        <w:shd w:val="clear" w:color="auto" w:fill="F4F4F4"/>
      </w:pPr>
      <w:r>
        <w:rPr>
          <w:rFonts w:ascii="Courier New" w:hAnsi="Courier New"/>
          <w:color w:val="1A1A1A"/>
          <w:sz w:val="18"/>
        </w:rPr>
        <w:t xml:space="preserve">        ↓</w:t>
      </w:r>
    </w:p>
    <w:p>
      <w:pPr>
        <w:spacing w:before="0" w:after="0"/>
        <w:ind w:left="170" w:right="170"/>
        <w:shd w:val="clear" w:color="auto" w:fill="F4F4F4"/>
      </w:pPr>
      <w:r>
        <w:rPr>
          <w:rFonts w:ascii="Courier New" w:hAnsi="Courier New"/>
          <w:color w:val="1A1A1A"/>
          <w:sz w:val="18"/>
        </w:rPr>
        <w:t>TAR Holder opens .tip → selects TAR Holder role → TARHolderView</w:t>
      </w:r>
    </w:p>
    <w:p>
      <w:pPr>
        <w:spacing w:before="0" w:after="0"/>
        <w:ind w:left="170" w:right="170"/>
        <w:shd w:val="clear" w:color="auto" w:fill="F4F4F4"/>
      </w:pPr>
      <w:r>
        <w:rPr>
          <w:rFonts w:ascii="Courier New" w:hAnsi="Courier New"/>
          <w:color w:val="1A1A1A"/>
          <w:sz w:val="18"/>
        </w:rPr>
        <w:t xml:space="preserve">        ↓</w:t>
      </w:r>
    </w:p>
    <w:p>
      <w:pPr>
        <w:spacing w:before="0" w:after="0"/>
        <w:ind w:left="170" w:right="170"/>
        <w:shd w:val="clear" w:color="auto" w:fill="F4F4F4"/>
      </w:pPr>
      <w:r>
        <w:rPr>
          <w:rFonts w:ascii="Courier New" w:hAnsi="Courier New"/>
          <w:color w:val="1A1A1A"/>
          <w:sz w:val="18"/>
        </w:rPr>
        <w:t>TAR Holder enters identity details + completes TAR fields per card</w:t>
      </w:r>
    </w:p>
    <w:p>
      <w:pPr>
        <w:spacing w:before="0" w:after="0"/>
        <w:ind w:left="170" w:right="170"/>
        <w:shd w:val="clear" w:color="auto" w:fill="F4F4F4"/>
      </w:pPr>
      <w:r>
        <w:rPr>
          <w:rFonts w:ascii="Courier New" w:hAnsi="Courier New"/>
          <w:color w:val="1A1A1A"/>
          <w:sz w:val="18"/>
        </w:rPr>
        <w:t xml:space="preserve">        ↓</w:t>
      </w:r>
    </w:p>
    <w:p>
      <w:pPr>
        <w:spacing w:before="0" w:after="0"/>
        <w:ind w:left="170" w:right="170"/>
        <w:shd w:val="clear" w:color="auto" w:fill="F4F4F4"/>
      </w:pPr>
      <w:r>
        <w:rPr>
          <w:rFonts w:ascii="Courier New" w:hAnsi="Courier New"/>
          <w:color w:val="1A1A1A"/>
          <w:sz w:val="18"/>
        </w:rPr>
        <w:t>TAR Holder exports Approved PDF (with identity in signature block)</w:t>
      </w:r>
    </w:p>
    <w:p>
      <w:pPr>
        <w:spacing w:before="0" w:after="0"/>
        <w:ind w:left="170" w:right="170"/>
        <w:shd w:val="clear" w:color="auto" w:fill="F4F4F4"/>
      </w:pPr>
      <w:r>
        <w:rPr>
          <w:rFonts w:ascii="Courier New" w:hAnsi="Courier New"/>
          <w:color w:val="1A1A1A"/>
          <w:sz w:val="18"/>
        </w:rPr>
        <w:t xml:space="preserve">        ↓</w:t>
      </w:r>
    </w:p>
    <w:p>
      <w:pPr>
        <w:spacing w:before="0" w:after="0"/>
        <w:ind w:left="170" w:right="170"/>
        <w:shd w:val="clear" w:color="auto" w:fill="F4F4F4"/>
      </w:pPr>
      <w:r>
        <w:rPr>
          <w:rFonts w:ascii="Courier New" w:hAnsi="Courier New"/>
          <w:color w:val="1A1A1A"/>
          <w:sz w:val="18"/>
        </w:rPr>
        <w:t>TAR Holder applies digital certificate externally (Adobe / equivalent)</w:t>
      </w:r>
    </w:p>
    <w:p>
      <w:pPr>
        <w:spacing w:before="0" w:after="0"/>
        <w:ind w:left="170" w:right="170"/>
        <w:shd w:val="clear" w:color="auto" w:fill="F4F4F4"/>
      </w:pPr>
      <w:r>
        <w:rPr>
          <w:rFonts w:ascii="Courier New" w:hAnsi="Courier New"/>
          <w:color w:val="1A1A1A"/>
          <w:sz w:val="18"/>
        </w:rPr>
        <w:t xml:space="preserve">        ↓</w:t>
      </w:r>
    </w:p>
    <w:p>
      <w:pPr>
        <w:spacing w:before="0" w:after="80"/>
        <w:ind w:left="170" w:right="170"/>
        <w:shd w:val="clear" w:color="auto" w:fill="F4F4F4"/>
      </w:pPr>
      <w:r>
        <w:rPr>
          <w:rFonts w:ascii="Courier New" w:hAnsi="Courier New"/>
          <w:color w:val="1A1A1A"/>
          <w:sz w:val="18"/>
        </w:rPr>
        <w:t>TAR Holder emails signed PDF back to Author via app (Outlook draft)</w:t>
      </w:r>
    </w:p>
    <w:p>
      <w:pPr>
        <w:pStyle w:val="Heading1"/>
        <w:spacing w:before="240" w:after="80"/>
      </w:pPr>
      <w:r>
        <w:t>4.  File Format — .tip</w:t>
      </w:r>
    </w:p>
    <w:p>
      <w:pPr>
        <w:spacing w:after="80" w:before="0"/>
      </w:pPr>
      <w:r>
        <w:rPr>
          <w:rFonts w:ascii="Calibri" w:hAnsi="Calibri"/>
          <w:sz w:val="22"/>
        </w:rPr>
        <w:t>Plans are stored as JSON files with the .tip extension. The format is human-readable and version-tagged for future compatibility.</w:t>
      </w:r>
    </w:p>
    <w:p>
      <w:pPr>
        <w:pStyle w:val="Heading2"/>
        <w:spacing w:before="240" w:after="80"/>
      </w:pPr>
      <w:r>
        <w:t>Schema (version 1.1)</w:t>
      </w:r>
    </w:p>
    <w:p>
      <w:pPr>
        <w:spacing w:before="80" w:after="0"/>
        <w:ind w:left="170" w:right="170"/>
        <w:shd w:val="clear" w:color="auto" w:fill="F4F4F4"/>
        <w:pBdr>
          <w:left w:val="single" w:sz="20" w:space="4" w:color="1F3864"/>
        </w:pBdr>
      </w:pPr>
      <w:r>
        <w:rPr>
          <w:rFonts w:ascii="Courier New" w:hAnsi="Courier New"/>
          <w:color w:val="1A1A1A"/>
          <w:sz w:val="18"/>
        </w:rPr>
        <w:t>{</w:t>
      </w:r>
    </w:p>
    <w:p>
      <w:pPr>
        <w:spacing w:before="0" w:after="0"/>
        <w:ind w:left="170" w:right="170"/>
        <w:shd w:val="clear" w:color="auto" w:fill="F4F4F4"/>
      </w:pPr>
      <w:r>
        <w:rPr>
          <w:rFonts w:ascii="Courier New" w:hAnsi="Courier New"/>
          <w:color w:val="1A1A1A"/>
          <w:sz w:val="18"/>
        </w:rPr>
        <w:t xml:space="preserve">  "version": "1.1",</w:t>
      </w:r>
    </w:p>
    <w:p>
      <w:pPr>
        <w:spacing w:before="0" w:after="0"/>
        <w:ind w:left="170" w:right="170"/>
        <w:shd w:val="clear" w:color="auto" w:fill="F4F4F4"/>
      </w:pPr>
      <w:r>
        <w:rPr>
          <w:rFonts w:ascii="Courier New" w:hAnsi="Courier New"/>
          <w:color w:val="1A1A1A"/>
          <w:sz w:val="18"/>
        </w:rPr>
        <w:t xml:space="preserve">  "plan": {</w:t>
      </w:r>
    </w:p>
    <w:p>
      <w:pPr>
        <w:spacing w:before="0" w:after="0"/>
        <w:ind w:left="170" w:right="170"/>
        <w:shd w:val="clear" w:color="auto" w:fill="F4F4F4"/>
      </w:pPr>
      <w:r>
        <w:rPr>
          <w:rFonts w:ascii="Courier New" w:hAnsi="Courier New"/>
          <w:color w:val="1A1A1A"/>
          <w:sz w:val="18"/>
        </w:rPr>
        <w:t xml:space="preserve">    "mva_author":  "string",</w:t>
      </w:r>
    </w:p>
    <w:p>
      <w:pPr>
        <w:spacing w:before="0" w:after="0"/>
        <w:ind w:left="170" w:right="170"/>
        <w:shd w:val="clear" w:color="auto" w:fill="F4F4F4"/>
      </w:pPr>
      <w:r>
        <w:rPr>
          <w:rFonts w:ascii="Courier New" w:hAnsi="Courier New"/>
          <w:color w:val="1A1A1A"/>
          <w:sz w:val="18"/>
        </w:rPr>
        <w:t xml:space="preserve">    "mva_number":  "string",</w:t>
      </w:r>
    </w:p>
    <w:p>
      <w:pPr>
        <w:spacing w:before="0" w:after="0"/>
        <w:ind w:left="170" w:right="170"/>
        <w:shd w:val="clear" w:color="auto" w:fill="F4F4F4"/>
      </w:pPr>
      <w:r>
        <w:rPr>
          <w:rFonts w:ascii="Courier New" w:hAnsi="Courier New"/>
          <w:color w:val="1A1A1A"/>
          <w:sz w:val="18"/>
        </w:rPr>
        <w:t xml:space="preserve">    "date":        "DD/MM/YYYY",</w:t>
      </w:r>
    </w:p>
    <w:p>
      <w:pPr>
        <w:spacing w:before="0" w:after="0"/>
        <w:ind w:left="170" w:right="170"/>
        <w:shd w:val="clear" w:color="auto" w:fill="F4F4F4"/>
      </w:pPr>
      <w:r>
        <w:rPr>
          <w:rFonts w:ascii="Courier New" w:hAnsi="Courier New"/>
          <w:color w:val="1A1A1A"/>
          <w:sz w:val="18"/>
        </w:rPr>
        <w:t xml:space="preserve">    "mode":        "manual | automated",</w:t>
      </w:r>
    </w:p>
    <w:p>
      <w:pPr>
        <w:spacing w:before="0" w:after="0"/>
        <w:ind w:left="170" w:right="170"/>
        <w:shd w:val="clear" w:color="auto" w:fill="F4F4F4"/>
      </w:pPr>
      <w:r>
        <w:rPr>
          <w:rFonts w:ascii="Courier New" w:hAnsi="Courier New"/>
          <w:color w:val="1A1A1A"/>
          <w:sz w:val="18"/>
        </w:rPr>
        <w:t xml:space="preserve">    "tar_email":   "string  (stored when Author sends)"</w:t>
      </w:r>
    </w:p>
    <w:p>
      <w:pPr>
        <w:spacing w:before="0" w:after="0"/>
        <w:ind w:left="170" w:right="170"/>
        <w:shd w:val="clear" w:color="auto" w:fill="F4F4F4"/>
      </w:pPr>
      <w:r>
        <w:rPr>
          <w:rFonts w:ascii="Courier New" w:hAnsi="Courier New"/>
          <w:color w:val="1A1A1A"/>
          <w:sz w:val="18"/>
        </w:rPr>
        <w:t xml:space="preserve">  },</w:t>
      </w:r>
    </w:p>
    <w:p>
      <w:pPr>
        <w:spacing w:before="0" w:after="0"/>
        <w:ind w:left="170" w:right="170"/>
        <w:shd w:val="clear" w:color="auto" w:fill="F4F4F4"/>
      </w:pPr>
      <w:r>
        <w:rPr>
          <w:rFonts w:ascii="Courier New" w:hAnsi="Courier New"/>
          <w:color w:val="1A1A1A"/>
          <w:sz w:val="18"/>
        </w:rPr>
        <w:t xml:space="preserve">  "tar_holder": {</w:t>
      </w:r>
    </w:p>
    <w:p>
      <w:pPr>
        <w:spacing w:before="0" w:after="0"/>
        <w:ind w:left="170" w:right="170"/>
        <w:shd w:val="clear" w:color="auto" w:fill="F4F4F4"/>
      </w:pPr>
      <w:r>
        <w:rPr>
          <w:rFonts w:ascii="Courier New" w:hAnsi="Courier New"/>
          <w:color w:val="1A1A1A"/>
          <w:sz w:val="18"/>
        </w:rPr>
        <w:t xml:space="preserve">    "name":        "string",</w:t>
      </w:r>
    </w:p>
    <w:p>
      <w:pPr>
        <w:spacing w:before="0" w:after="0"/>
        <w:ind w:left="170" w:right="170"/>
        <w:shd w:val="clear" w:color="auto" w:fill="F4F4F4"/>
      </w:pPr>
      <w:r>
        <w:rPr>
          <w:rFonts w:ascii="Courier New" w:hAnsi="Courier New"/>
          <w:color w:val="1A1A1A"/>
          <w:sz w:val="18"/>
        </w:rPr>
        <w:t xml:space="preserve">    "date":        "DD/MM/YYYY",</w:t>
      </w:r>
    </w:p>
    <w:p>
      <w:pPr>
        <w:spacing w:before="0" w:after="0"/>
        <w:ind w:left="170" w:right="170"/>
        <w:shd w:val="clear" w:color="auto" w:fill="F4F4F4"/>
      </w:pPr>
      <w:r>
        <w:rPr>
          <w:rFonts w:ascii="Courier New" w:hAnsi="Courier New"/>
          <w:color w:val="1A1A1A"/>
          <w:sz w:val="18"/>
        </w:rPr>
        <w:t xml:space="preserve">    "employer_no": "string"</w:t>
      </w:r>
    </w:p>
    <w:p>
      <w:pPr>
        <w:spacing w:before="0" w:after="0"/>
        <w:ind w:left="170" w:right="170"/>
        <w:shd w:val="clear" w:color="auto" w:fill="F4F4F4"/>
      </w:pPr>
      <w:r>
        <w:rPr>
          <w:rFonts w:ascii="Courier New" w:hAnsi="Courier New"/>
          <w:color w:val="1A1A1A"/>
          <w:sz w:val="18"/>
        </w:rPr>
        <w:t xml:space="preserve">  },</w:t>
      </w:r>
    </w:p>
    <w:p>
      <w:pPr>
        <w:spacing w:before="0" w:after="0"/>
        <w:ind w:left="170" w:right="170"/>
        <w:shd w:val="clear" w:color="auto" w:fill="F4F4F4"/>
      </w:pPr>
      <w:r>
        <w:rPr>
          <w:rFonts w:ascii="Courier New" w:hAnsi="Courier New"/>
          <w:color w:val="1A1A1A"/>
          <w:sz w:val="18"/>
        </w:rPr>
        <w:t xml:space="preserve">  "cards": [</w:t>
      </w:r>
    </w:p>
    <w:p>
      <w:pPr>
        <w:spacing w:before="0" w:after="0"/>
        <w:ind w:left="170" w:right="170"/>
        <w:shd w:val="clear" w:color="auto" w:fill="F4F4F4"/>
      </w:pPr>
      <w:r>
        <w:rPr>
          <w:rFonts w:ascii="Courier New" w:hAnsi="Courier New"/>
          <w:color w:val="1A1A1A"/>
          <w:sz w:val="18"/>
        </w:rPr>
        <w:t xml:space="preserve">    {</w:t>
      </w:r>
    </w:p>
    <w:p>
      <w:pPr>
        <w:spacing w:before="0" w:after="0"/>
        <w:ind w:left="170" w:right="170"/>
        <w:shd w:val="clear" w:color="auto" w:fill="F4F4F4"/>
      </w:pPr>
      <w:r>
        <w:rPr>
          <w:rFonts w:ascii="Courier New" w:hAnsi="Courier New"/>
          <w:color w:val="1A1A1A"/>
          <w:sz w:val="18"/>
        </w:rPr>
        <w:t xml:space="preserve">      "item_num":            1,</w:t>
      </w:r>
    </w:p>
    <w:p>
      <w:pPr>
        <w:spacing w:before="0" w:after="0"/>
        <w:ind w:left="170" w:right="170"/>
        <w:shd w:val="clear" w:color="auto" w:fill="F4F4F4"/>
      </w:pPr>
      <w:r>
        <w:rPr>
          <w:rFonts w:ascii="Courier New" w:hAnsi="Courier New"/>
          <w:color w:val="1A1A1A"/>
          <w:sz w:val="18"/>
        </w:rPr>
        <w:t xml:space="preserve">      "op_no":               "string",</w:t>
      </w:r>
    </w:p>
    <w:p>
      <w:pPr>
        <w:spacing w:before="0" w:after="0"/>
        <w:ind w:left="170" w:right="170"/>
        <w:shd w:val="clear" w:color="auto" w:fill="F4F4F4"/>
      </w:pPr>
      <w:r>
        <w:rPr>
          <w:rFonts w:ascii="Courier New" w:hAnsi="Courier New"/>
          <w:color w:val="1A1A1A"/>
          <w:sz w:val="18"/>
        </w:rPr>
        <w:t xml:space="preserve">      "sampling":            "string",</w:t>
      </w:r>
    </w:p>
    <w:p>
      <w:pPr>
        <w:spacing w:before="0" w:after="0"/>
        <w:ind w:left="170" w:right="170"/>
        <w:shd w:val="clear" w:color="auto" w:fill="F4F4F4"/>
      </w:pPr>
      <w:r>
        <w:rPr>
          <w:rFonts w:ascii="Courier New" w:hAnsi="Courier New"/>
          <w:color w:val="1A1A1A"/>
          <w:sz w:val="18"/>
        </w:rPr>
        <w:t xml:space="preserve">      "meas_type":           "string",</w:t>
      </w:r>
    </w:p>
    <w:p>
      <w:pPr>
        <w:spacing w:before="0" w:after="0"/>
        <w:ind w:left="170" w:right="170"/>
        <w:shd w:val="clear" w:color="auto" w:fill="F4F4F4"/>
      </w:pPr>
      <w:r>
        <w:rPr>
          <w:rFonts w:ascii="Courier New" w:hAnsi="Courier New"/>
          <w:color w:val="1A1A1A"/>
          <w:sz w:val="18"/>
        </w:rPr>
        <w:t xml:space="preserve">      "spec":                "string",</w:t>
      </w:r>
    </w:p>
    <w:p>
      <w:pPr>
        <w:spacing w:before="0" w:after="0"/>
        <w:ind w:left="170" w:right="170"/>
        <w:shd w:val="clear" w:color="auto" w:fill="F4F4F4"/>
      </w:pPr>
      <w:r>
        <w:rPr>
          <w:rFonts w:ascii="Courier New" w:hAnsi="Courier New"/>
          <w:color w:val="1A1A1A"/>
          <w:sz w:val="18"/>
        </w:rPr>
        <w:t xml:space="preserve">      "units":               "string",</w:t>
      </w:r>
    </w:p>
    <w:p>
      <w:pPr>
        <w:spacing w:before="0" w:after="0"/>
        <w:ind w:left="170" w:right="170"/>
        <w:shd w:val="clear" w:color="auto" w:fill="F4F4F4"/>
      </w:pPr>
      <w:r>
        <w:rPr>
          <w:rFonts w:ascii="Courier New" w:hAnsi="Courier New"/>
          <w:color w:val="1A1A1A"/>
          <w:sz w:val="18"/>
        </w:rPr>
        <w:t xml:space="preserve">      "bubble":              "string",</w:t>
      </w:r>
    </w:p>
    <w:p>
      <w:pPr>
        <w:spacing w:before="0" w:after="0"/>
        <w:ind w:left="170" w:right="170"/>
        <w:shd w:val="clear" w:color="auto" w:fill="F4F4F4"/>
      </w:pPr>
      <w:r>
        <w:rPr>
          <w:rFonts w:ascii="Courier New" w:hAnsi="Courier New"/>
          <w:color w:val="1A1A1A"/>
          <w:sz w:val="18"/>
        </w:rPr>
        <w:t xml:space="preserve">      "equipment_name":      "string",</w:t>
      </w:r>
    </w:p>
    <w:p>
      <w:pPr>
        <w:spacing w:before="0" w:after="0"/>
        <w:ind w:left="170" w:right="170"/>
        <w:shd w:val="clear" w:color="auto" w:fill="F4F4F4"/>
      </w:pPr>
      <w:r>
        <w:rPr>
          <w:rFonts w:ascii="Courier New" w:hAnsi="Courier New"/>
          <w:color w:val="1A1A1A"/>
          <w:sz w:val="18"/>
        </w:rPr>
        <w:t xml:space="preserve">      "equipment_no":        "string",</w:t>
      </w:r>
    </w:p>
    <w:p>
      <w:pPr>
        <w:spacing w:before="0" w:after="0"/>
        <w:ind w:left="170" w:right="170"/>
        <w:shd w:val="clear" w:color="auto" w:fill="F4F4F4"/>
      </w:pPr>
      <w:r>
        <w:rPr>
          <w:rFonts w:ascii="Courier New" w:hAnsi="Courier New"/>
          <w:color w:val="1A1A1A"/>
          <w:sz w:val="18"/>
        </w:rPr>
        <w:t xml:space="preserve">      "description":         "string",</w:t>
      </w:r>
    </w:p>
    <w:p>
      <w:pPr>
        <w:spacing w:before="0" w:after="0"/>
        <w:ind w:left="170" w:right="170"/>
        <w:shd w:val="clear" w:color="auto" w:fill="F4F4F4"/>
      </w:pPr>
      <w:r>
        <w:rPr>
          <w:rFonts w:ascii="Courier New" w:hAnsi="Courier New"/>
          <w:color w:val="1A1A1A"/>
          <w:sz w:val="18"/>
        </w:rPr>
        <w:t xml:space="preserve">      "ref_loc":             "string",</w:t>
      </w:r>
    </w:p>
    <w:p>
      <w:pPr>
        <w:spacing w:before="0" w:after="0"/>
        <w:ind w:left="170" w:right="170"/>
        <w:shd w:val="clear" w:color="auto" w:fill="F4F4F4"/>
      </w:pPr>
      <w:r>
        <w:rPr>
          <w:rFonts w:ascii="Courier New" w:hAnsi="Courier New"/>
          <w:color w:val="1A1A1A"/>
          <w:sz w:val="18"/>
        </w:rPr>
        <w:t xml:space="preserve">      "process_ref":         "string",</w:t>
      </w:r>
    </w:p>
    <w:p>
      <w:pPr>
        <w:spacing w:before="0" w:after="0"/>
        <w:ind w:left="170" w:right="170"/>
        <w:shd w:val="clear" w:color="auto" w:fill="F4F4F4"/>
      </w:pPr>
      <w:r>
        <w:rPr>
          <w:rFonts w:ascii="Courier New" w:hAnsi="Courier New"/>
          <w:color w:val="1A1A1A"/>
          <w:sz w:val="18"/>
        </w:rPr>
        <w:t xml:space="preserve">      "verification_method": "string",</w:t>
      </w:r>
    </w:p>
    <w:p>
      <w:pPr>
        <w:spacing w:before="0" w:after="0"/>
        <w:ind w:left="170" w:right="170"/>
        <w:shd w:val="clear" w:color="auto" w:fill="F4F4F4"/>
      </w:pPr>
      <w:r>
        <w:rPr>
          <w:rFonts w:ascii="Courier New" w:hAnsi="Courier New"/>
          <w:color w:val="1A1A1A"/>
          <w:sz w:val="18"/>
        </w:rPr>
        <w:t xml:space="preserve">      "equipment_type":      "string",</w:t>
      </w:r>
    </w:p>
    <w:p>
      <w:pPr>
        <w:spacing w:before="0" w:after="0"/>
        <w:ind w:left="170" w:right="170"/>
        <w:shd w:val="clear" w:color="auto" w:fill="F4F4F4"/>
      </w:pPr>
      <w:r>
        <w:rPr>
          <w:rFonts w:ascii="Courier New" w:hAnsi="Courier New"/>
          <w:color w:val="1A1A1A"/>
          <w:sz w:val="18"/>
        </w:rPr>
        <w:t xml:space="preserve">      "msa_method":          "string",</w:t>
      </w:r>
    </w:p>
    <w:p>
      <w:pPr>
        <w:spacing w:before="0" w:after="0"/>
        <w:ind w:left="170" w:right="170"/>
        <w:shd w:val="clear" w:color="auto" w:fill="F4F4F4"/>
      </w:pPr>
      <w:r>
        <w:rPr>
          <w:rFonts w:ascii="Courier New" w:hAnsi="Courier New"/>
          <w:color w:val="1A1A1A"/>
          <w:sz w:val="18"/>
        </w:rPr>
        <w:t xml:space="preserve">      "msa_ref":             "string",</w:t>
      </w:r>
    </w:p>
    <w:p>
      <w:pPr>
        <w:spacing w:before="0" w:after="0"/>
        <w:ind w:left="170" w:right="170"/>
        <w:shd w:val="clear" w:color="auto" w:fill="F4F4F4"/>
      </w:pPr>
      <w:r>
        <w:rPr>
          <w:rFonts w:ascii="Courier New" w:hAnsi="Courier New"/>
          <w:color w:val="1A1A1A"/>
          <w:sz w:val="18"/>
        </w:rPr>
        <w:t xml:space="preserve">      "responsible_person":  "string",</w:t>
      </w:r>
    </w:p>
    <w:p>
      <w:pPr>
        <w:spacing w:before="0" w:after="0"/>
        <w:ind w:left="170" w:right="170"/>
        <w:shd w:val="clear" w:color="auto" w:fill="F4F4F4"/>
      </w:pPr>
      <w:r>
        <w:rPr>
          <w:rFonts w:ascii="Courier New" w:hAnsi="Courier New"/>
          <w:color w:val="1A1A1A"/>
          <w:sz w:val="18"/>
        </w:rPr>
        <w:t xml:space="preserve">      "control_method":      "string",</w:t>
      </w:r>
    </w:p>
    <w:p>
      <w:pPr>
        <w:spacing w:before="0" w:after="0"/>
        <w:ind w:left="170" w:right="170"/>
        <w:shd w:val="clear" w:color="auto" w:fill="F4F4F4"/>
      </w:pPr>
      <w:r>
        <w:rPr>
          <w:rFonts w:ascii="Courier New" w:hAnsi="Courier New"/>
          <w:color w:val="1A1A1A"/>
          <w:sz w:val="18"/>
        </w:rPr>
        <w:t xml:space="preserve">      "reaction_plan":       "string",</w:t>
      </w:r>
    </w:p>
    <w:p>
      <w:pPr>
        <w:spacing w:before="0" w:after="0"/>
        <w:ind w:left="170" w:right="170"/>
        <w:shd w:val="clear" w:color="auto" w:fill="F4F4F4"/>
      </w:pPr>
      <w:r>
        <w:rPr>
          <w:rFonts w:ascii="Courier New" w:hAnsi="Courier New"/>
          <w:color w:val="1A1A1A"/>
          <w:sz w:val="18"/>
        </w:rPr>
        <w:t xml:space="preserve">      "comments":            "string"</w:t>
      </w:r>
    </w:p>
    <w:p>
      <w:pPr>
        <w:spacing w:before="0" w:after="0"/>
        <w:ind w:left="170" w:right="170"/>
        <w:shd w:val="clear" w:color="auto" w:fill="F4F4F4"/>
      </w:pPr>
      <w:r>
        <w:rPr>
          <w:rFonts w:ascii="Courier New" w:hAnsi="Courier New"/>
          <w:color w:val="1A1A1A"/>
          <w:sz w:val="18"/>
        </w:rPr>
        <w:t xml:space="preserve">    }</w:t>
      </w:r>
    </w:p>
    <w:p>
      <w:pPr>
        <w:spacing w:before="0" w:after="0"/>
        <w:ind w:left="170" w:right="170"/>
        <w:shd w:val="clear" w:color="auto" w:fill="F4F4F4"/>
      </w:pPr>
      <w:r>
        <w:rPr>
          <w:rFonts w:ascii="Courier New" w:hAnsi="Courier New"/>
          <w:color w:val="1A1A1A"/>
          <w:sz w:val="18"/>
        </w:rPr>
        <w:t xml:space="preserve">  ]</w:t>
      </w:r>
    </w:p>
    <w:p>
      <w:pPr>
        <w:spacing w:before="0" w:after="80"/>
        <w:ind w:left="170" w:right="170"/>
        <w:shd w:val="clear" w:color="auto" w:fill="F4F4F4"/>
      </w:pPr>
      <w:r>
        <w:rPr>
          <w:rFonts w:ascii="Courier New" w:hAnsi="Courier New"/>
          <w:color w:val="1A1A1A"/>
          <w:sz w:val="18"/>
        </w:rPr>
        <w:t>}</w:t>
      </w:r>
    </w:p>
    <w:p>
      <w:pPr>
        <w:spacing w:after="80" w:before="0"/>
      </w:pPr>
      <w:r>
        <w:rPr>
          <w:rFonts w:ascii="Calibri" w:hAnsi="Calibri"/>
          <w:sz w:val="22"/>
        </w:rPr>
        <w:t>Fields item_num through process_ref are Author fields. Fields verification_method through comments are TAR Holder assessment fields. The tar_holder block is optional — absent in draft plans not yet reviewed.</w:t>
      </w:r>
    </w:p>
    <w:p>
      <w:pPr>
        <w:spacing w:after="80" w:before="0"/>
      </w:pPr>
      <w:r>
        <w:rPr>
          <w:rFonts w:ascii="Calibri" w:hAnsi="Calibri"/>
          <w:sz w:val="22"/>
        </w:rPr>
        <w:t>Backwards compatibility: version 1.0 files (no tar_holder block) load correctly; missing fields default gracefully.</w:t>
      </w:r>
    </w:p>
    <w:p>
      <w:r>
        <w:br w:type="page"/>
      </w:r>
    </w:p>
    <w:p>
      <w:pPr>
        <w:pStyle w:val="Heading1"/>
        <w:spacing w:before="240" w:after="80"/>
      </w:pPr>
      <w:r>
        <w:t>5.  Author Workflow — Detailed</w:t>
      </w:r>
    </w:p>
    <w:p>
      <w:pPr>
        <w:pStyle w:val="Heading2"/>
        <w:spacing w:before="240" w:after="80"/>
      </w:pPr>
      <w:r>
        <w:t>Step 1: Plan Details</w:t>
      </w:r>
    </w:p>
    <w:p>
      <w:pPr>
        <w:spacing w:after="80" w:before="0"/>
      </w:pPr>
      <w:r>
        <w:rPr>
          <w:rFonts w:ascii="Calibri" w:hAnsi="Calibri"/>
          <w:sz w:val="22"/>
        </w:rPr>
        <w:t>The Author enters:</w:t>
      </w:r>
    </w:p>
    <w:p>
      <w:pPr>
        <w:pStyle w:val="ListBullet"/>
        <w:spacing w:after="40" w:before="20"/>
      </w:pPr>
      <w:r>
        <w:rPr>
          <w:rFonts w:ascii="Calibri" w:hAnsi="Calibri"/>
          <w:b w:val="0"/>
          <w:i w:val="0"/>
          <w:sz w:val="22"/>
        </w:rPr>
        <w:t>MVA Author name (Prepared By)</w:t>
      </w:r>
    </w:p>
    <w:p>
      <w:pPr>
        <w:pStyle w:val="ListBullet"/>
        <w:spacing w:after="40" w:before="20"/>
      </w:pPr>
      <w:r>
        <w:rPr>
          <w:rFonts w:ascii="Calibri" w:hAnsi="Calibri"/>
          <w:b w:val="0"/>
          <w:i w:val="0"/>
          <w:sz w:val="22"/>
        </w:rPr>
        <w:t>MVA Number</w:t>
      </w:r>
    </w:p>
    <w:p>
      <w:pPr>
        <w:pStyle w:val="ListBullet"/>
        <w:spacing w:after="40" w:before="20"/>
      </w:pPr>
      <w:r>
        <w:rPr>
          <w:rFonts w:ascii="Calibri" w:hAnsi="Calibri"/>
          <w:b w:val="0"/>
          <w:i w:val="0"/>
          <w:sz w:val="22"/>
        </w:rPr>
        <w:t>Date (free text DD/MM/YYYY, with Today shortcut)</w:t>
      </w:r>
    </w:p>
    <w:p>
      <w:pPr>
        <w:pStyle w:val="ListBullet"/>
        <w:spacing w:after="40" w:before="20"/>
      </w:pPr>
      <w:r>
        <w:rPr>
          <w:rFonts w:ascii="Calibri" w:hAnsi="Calibri"/>
          <w:b w:val="0"/>
          <w:i w:val="0"/>
          <w:sz w:val="22"/>
        </w:rPr>
        <w:t>Input Method: Manual or Automated (NetInspect import)</w:t>
      </w:r>
    </w:p>
    <w:p>
      <w:pPr>
        <w:spacing w:after="80" w:before="0"/>
      </w:pPr>
      <w:r>
        <w:rPr>
          <w:rFonts w:ascii="Calibri" w:hAnsi="Calibri"/>
          <w:sz w:val="22"/>
        </w:rPr>
        <w:t>TAR Holder email is deliberately absent from this step — it is only requested at the point of sending (Step 3), keeping setup focused.</w:t>
      </w:r>
    </w:p>
    <w:p>
      <w:pPr>
        <w:pStyle w:val="Heading2"/>
        <w:spacing w:before="240" w:after="80"/>
      </w:pPr>
      <w:r>
        <w:t>Step 2: Inspection Cards</w:t>
      </w:r>
    </w:p>
    <w:p>
      <w:pPr>
        <w:pStyle w:val="ListBullet"/>
        <w:spacing w:after="40" w:before="20"/>
      </w:pPr>
    </w:p>
    <w:p>
      <w:pPr>
        <w:pStyle w:val="ListBullet"/>
        <w:spacing w:after="80" w:before="40"/>
      </w:pPr>
      <w:r>
        <w:rPr>
          <w:rFonts w:ascii="Calibri" w:hAnsi="Calibri"/>
          <w:b/>
          <w:i w:val="0"/>
          <w:sz w:val="22"/>
        </w:rPr>
        <w:t xml:space="preserve">Manual mode:  </w:t>
      </w:r>
      <w:r>
        <w:rPr>
          <w:rFonts w:ascii="Calibri" w:hAnsi="Calibri"/>
          <w:b w:val="0"/>
          <w:i w:val="0"/>
          <w:sz w:val="22"/>
        </w:rPr>
        <w:t>The Author adds cards one at a time via a dialog. Each card captures: Op No., Sampling, Measurement Type, Spec, Units, Bubble #, Equipment Name, Equipment No., Description, Reference Location, Process Reference. TAR assessment fields are completely absent from this dialog.</w:t>
      </w:r>
    </w:p>
    <w:p>
      <w:pPr>
        <w:pStyle w:val="ListBullet"/>
        <w:spacing w:after="80" w:before="40"/>
      </w:pPr>
      <w:r>
        <w:rPr>
          <w:rFonts w:ascii="Calibri" w:hAnsi="Calibri"/>
          <w:b/>
          <w:i w:val="0"/>
          <w:sz w:val="22"/>
        </w:rPr>
        <w:t xml:space="preserve">Automated mode:  </w:t>
      </w:r>
      <w:r>
        <w:rPr>
          <w:rFonts w:ascii="Calibri" w:hAnsi="Calibri"/>
          <w:b w:val="0"/>
          <w:i w:val="0"/>
          <w:sz w:val="22"/>
        </w:rPr>
        <w:t>The Author imports a NetInspect export (.xlsx/.xls/.xlsm). The importer maps standard NetInspect columns (Op, Sampling, Description, Type, Spec, Units, Bubble, Ref, Process Ref) and auto-numbers items. Header validation confirms the file is a valid NetInspect export before importing.</w:t>
      </w:r>
    </w:p>
    <w:p>
      <w:pPr>
        <w:spacing w:after="80" w:before="0"/>
      </w:pPr>
      <w:r>
        <w:rPr>
          <w:rFonts w:ascii="Calibri" w:hAnsi="Calibri"/>
          <w:sz w:val="22"/>
        </w:rPr>
        <w:t>Cards are displayed in a sortable treeview. Double-click to edit. Delete and Clear All include confirmation dialogs.</w:t>
      </w:r>
    </w:p>
    <w:p>
      <w:pPr>
        <w:pStyle w:val="Heading2"/>
        <w:spacing w:before="240" w:after="80"/>
      </w:pPr>
      <w:r>
        <w:t>Step 3: Send to TAR Holder</w:t>
      </w:r>
    </w:p>
    <w:p>
      <w:pPr>
        <w:pStyle w:val="ListBullet"/>
        <w:spacing w:after="40" w:before="20"/>
      </w:pPr>
      <w:r>
        <w:rPr>
          <w:rFonts w:ascii="Calibri" w:hAnsi="Calibri"/>
          <w:b w:val="0"/>
          <w:i w:val="0"/>
          <w:sz w:val="22"/>
        </w:rPr>
        <w:t>Plan summary displayed (read-only confirmation)</w:t>
      </w:r>
    </w:p>
    <w:p>
      <w:pPr>
        <w:pStyle w:val="ListBullet"/>
        <w:spacing w:after="40" w:before="20"/>
      </w:pPr>
      <w:r>
        <w:rPr>
          <w:rFonts w:ascii="Calibri" w:hAnsi="Calibri"/>
          <w:b w:val="0"/>
          <w:i w:val="0"/>
          <w:sz w:val="22"/>
        </w:rPr>
        <w:t>TAR Holder email entered here (stored to plan on send)</w:t>
      </w:r>
    </w:p>
    <w:p>
      <w:pPr>
        <w:pStyle w:val="ListBullet"/>
        <w:spacing w:after="40" w:before="20"/>
      </w:pPr>
      <w:r>
        <w:rPr>
          <w:rFonts w:ascii="Calibri" w:hAnsi="Calibri"/>
          <w:b w:val="0"/>
          <w:i w:val="0"/>
          <w:sz w:val="22"/>
        </w:rPr>
        <w:t>"Send Email via Outlook" — creates a draft Outlook email with the .tip file and Draft PDF attached, with structured ACTION REQUIRED instructions for the TAR Holder</w:t>
      </w:r>
    </w:p>
    <w:p>
      <w:pPr>
        <w:pStyle w:val="ListBullet"/>
        <w:spacing w:after="40" w:before="20"/>
      </w:pPr>
      <w:r>
        <w:rPr>
          <w:rFonts w:ascii="Calibri" w:hAnsi="Calibri"/>
          <w:b w:val="0"/>
          <w:i w:val="0"/>
          <w:sz w:val="22"/>
        </w:rPr>
        <w:t>"Export Draft PDF" — saves a PDF for reference; TAR assessment fields shown as blank in the PDF</w:t>
      </w:r>
    </w:p>
    <w:p>
      <w:pPr>
        <w:pStyle w:val="ListBullet"/>
        <w:spacing w:after="40" w:before="20"/>
      </w:pPr>
      <w:r>
        <w:rPr>
          <w:rFonts w:ascii="Calibri" w:hAnsi="Calibri"/>
          <w:b w:val="0"/>
          <w:i w:val="0"/>
          <w:sz w:val="22"/>
        </w:rPr>
        <w:t>"Save Plan (.tip)" — saves current state to file</w:t>
      </w:r>
    </w:p>
    <w:p>
      <w:pPr>
        <w:pStyle w:val="Heading1"/>
        <w:spacing w:before="240" w:after="80"/>
      </w:pPr>
      <w:r>
        <w:t>6.  TAR Holder Workflow — Detailed</w:t>
      </w:r>
    </w:p>
    <w:p>
      <w:pPr>
        <w:pStyle w:val="Heading2"/>
        <w:spacing w:before="240" w:after="80"/>
      </w:pPr>
      <w:r>
        <w:t>Entry</w:t>
      </w:r>
    </w:p>
    <w:p>
      <w:pPr>
        <w:spacing w:after="80" w:before="0"/>
      </w:pPr>
      <w:r>
        <w:rPr>
          <w:rFonts w:ascii="Calibri" w:hAnsi="Calibri"/>
          <w:sz w:val="22"/>
        </w:rPr>
        <w:t>The TAR Holder opens the .tip file in the application, selects "TAR Holder" in the role dialog, and is routed directly to TARHolderView. A green instruction banner at the top of the screen explains exactly what to do.</w:t>
      </w:r>
    </w:p>
    <w:p>
      <w:pPr>
        <w:pStyle w:val="Heading2"/>
        <w:spacing w:before="240" w:after="80"/>
      </w:pPr>
      <w:r>
        <w:t>Identity Details</w:t>
      </w:r>
    </w:p>
    <w:p>
      <w:pPr>
        <w:spacing w:after="80" w:before="0"/>
      </w:pPr>
      <w:r>
        <w:rPr>
          <w:rFonts w:ascii="Calibri" w:hAnsi="Calibri"/>
          <w:sz w:val="22"/>
        </w:rPr>
        <w:t>Before any export is permitted, the TAR Holder must complete:</w:t>
      </w:r>
    </w:p>
    <w:p>
      <w:pPr>
        <w:pStyle w:val="ListBullet"/>
        <w:spacing w:after="40" w:before="20"/>
      </w:pPr>
      <w:r>
        <w:rPr>
          <w:rFonts w:ascii="Calibri" w:hAnsi="Calibri"/>
          <w:b w:val="0"/>
          <w:i w:val="0"/>
          <w:sz w:val="22"/>
        </w:rPr>
        <w:t>TAR Holder Name</w:t>
      </w:r>
    </w:p>
    <w:p>
      <w:pPr>
        <w:pStyle w:val="ListBullet"/>
        <w:spacing w:after="40" w:before="20"/>
      </w:pPr>
      <w:r>
        <w:rPr>
          <w:rFonts w:ascii="Calibri" w:hAnsi="Calibri"/>
          <w:b w:val="0"/>
          <w:i w:val="0"/>
          <w:sz w:val="22"/>
        </w:rPr>
        <w:t>Date (with Today shortcut)</w:t>
      </w:r>
    </w:p>
    <w:p>
      <w:pPr>
        <w:pStyle w:val="ListBullet"/>
        <w:spacing w:after="40" w:before="20"/>
      </w:pPr>
      <w:r>
        <w:rPr>
          <w:rFonts w:ascii="Calibri" w:hAnsi="Calibri"/>
          <w:b w:val="0"/>
          <w:i w:val="0"/>
          <w:sz w:val="22"/>
        </w:rPr>
        <w:t>Employer Number</w:t>
      </w:r>
    </w:p>
    <w:p>
      <w:pPr>
        <w:spacing w:after="80" w:before="0"/>
      </w:pPr>
      <w:r>
        <w:rPr>
          <w:rFonts w:ascii="Calibri" w:hAnsi="Calibri"/>
          <w:sz w:val="22"/>
        </w:rPr>
        <w:t>Validation fires on export/email attempts — missing fields block the action with a clear message listing what is incomplete.</w:t>
      </w:r>
    </w:p>
    <w:p>
      <w:pPr>
        <w:pStyle w:val="Heading2"/>
        <w:spacing w:before="240" w:after="80"/>
      </w:pPr>
      <w:r>
        <w:t>Card Review</w:t>
      </w:r>
    </w:p>
    <w:p>
      <w:pPr>
        <w:spacing w:after="80" w:before="0"/>
      </w:pPr>
      <w:r>
        <w:rPr>
          <w:rFonts w:ascii="Calibri" w:hAnsi="Calibri"/>
          <w:sz w:val="22"/>
        </w:rPr>
        <w:t>A treeview lists all inspection items. Selecting a card loads its TAR assessment panel (green background) showing 8 fields:</w:t>
      </w:r>
    </w:p>
    <w:p>
      <w:pPr>
        <w:pStyle w:val="ListBullet"/>
        <w:spacing w:after="40" w:before="20"/>
      </w:pPr>
      <w:r>
        <w:rPr>
          <w:rFonts w:ascii="Calibri" w:hAnsi="Calibri"/>
          <w:b w:val="0"/>
          <w:i w:val="0"/>
          <w:sz w:val="22"/>
        </w:rPr>
        <w:t>Verification Method (dropdown — 8 options)</w:t>
      </w:r>
    </w:p>
    <w:p>
      <w:pPr>
        <w:pStyle w:val="ListBullet"/>
        <w:spacing w:after="40" w:before="20"/>
      </w:pPr>
      <w:r>
        <w:rPr>
          <w:rFonts w:ascii="Calibri" w:hAnsi="Calibri"/>
          <w:b w:val="0"/>
          <w:i w:val="0"/>
          <w:sz w:val="22"/>
        </w:rPr>
        <w:t>Equipment Type (dropdown — 79 options)</w:t>
      </w:r>
    </w:p>
    <w:p>
      <w:pPr>
        <w:pStyle w:val="ListBullet"/>
        <w:spacing w:after="40" w:before="20"/>
      </w:pPr>
      <w:r>
        <w:rPr>
          <w:rFonts w:ascii="Calibri" w:hAnsi="Calibri"/>
          <w:b w:val="0"/>
          <w:i w:val="0"/>
          <w:sz w:val="22"/>
        </w:rPr>
        <w:t>MSA Verification Method (dropdown — 11 options)</w:t>
      </w:r>
    </w:p>
    <w:p>
      <w:pPr>
        <w:pStyle w:val="ListBullet"/>
        <w:spacing w:after="40" w:before="20"/>
      </w:pPr>
      <w:r>
        <w:rPr>
          <w:rFonts w:ascii="Calibri" w:hAnsi="Calibri"/>
          <w:b w:val="0"/>
          <w:i w:val="0"/>
          <w:sz w:val="22"/>
        </w:rPr>
        <w:t>MSA Ref / Justification (free text)</w:t>
      </w:r>
    </w:p>
    <w:p>
      <w:pPr>
        <w:pStyle w:val="ListBullet"/>
        <w:spacing w:after="40" w:before="20"/>
      </w:pPr>
      <w:r>
        <w:rPr>
          <w:rFonts w:ascii="Calibri" w:hAnsi="Calibri"/>
          <w:b w:val="0"/>
          <w:i w:val="0"/>
          <w:sz w:val="22"/>
        </w:rPr>
        <w:t>Responsible Person (free text)</w:t>
      </w:r>
    </w:p>
    <w:p>
      <w:pPr>
        <w:pStyle w:val="ListBullet"/>
        <w:spacing w:after="40" w:before="20"/>
      </w:pPr>
      <w:r>
        <w:rPr>
          <w:rFonts w:ascii="Calibri" w:hAnsi="Calibri"/>
          <w:b w:val="0"/>
          <w:i w:val="0"/>
          <w:sz w:val="22"/>
        </w:rPr>
        <w:t>Control Method (free text)</w:t>
      </w:r>
    </w:p>
    <w:p>
      <w:pPr>
        <w:pStyle w:val="ListBullet"/>
        <w:spacing w:after="40" w:before="20"/>
      </w:pPr>
      <w:r>
        <w:rPr>
          <w:rFonts w:ascii="Calibri" w:hAnsi="Calibri"/>
          <w:b w:val="0"/>
          <w:i w:val="0"/>
          <w:sz w:val="22"/>
        </w:rPr>
        <w:t>Reaction Plan (free text)</w:t>
      </w:r>
    </w:p>
    <w:p>
      <w:pPr>
        <w:pStyle w:val="ListBullet"/>
        <w:spacing w:after="40" w:before="20"/>
      </w:pPr>
      <w:r>
        <w:rPr>
          <w:rFonts w:ascii="Calibri" w:hAnsi="Calibri"/>
          <w:b w:val="0"/>
          <w:i w:val="0"/>
          <w:sz w:val="22"/>
        </w:rPr>
        <w:t>Comments (free text)</w:t>
      </w:r>
    </w:p>
    <w:p>
      <w:pPr>
        <w:spacing w:after="80" w:before="0"/>
      </w:pPr>
      <w:r>
        <w:rPr>
          <w:rFonts w:ascii="Calibri" w:hAnsi="Calibri"/>
          <w:sz w:val="22"/>
        </w:rPr>
        <w:t>Fields auto-flush to the card data on selection change. No manual Save per card is required.</w:t>
      </w:r>
    </w:p>
    <w:p>
      <w:pPr>
        <w:pStyle w:val="Heading2"/>
        <w:spacing w:before="240" w:after="80"/>
      </w:pPr>
      <w:r>
        <w:t>Save Progress</w:t>
      </w:r>
    </w:p>
    <w:p>
      <w:pPr>
        <w:spacing w:after="80" w:before="0"/>
      </w:pPr>
      <w:r>
        <w:rPr>
          <w:rFonts w:ascii="Calibri" w:hAnsi="Calibri"/>
          <w:sz w:val="22"/>
        </w:rPr>
        <w:t>"Save Progress" writes the current state (including all completed TAR fields and identity details) back to the original .tip file. This allows the TAR Holder to complete the review across multiple sessions.</w:t>
      </w:r>
    </w:p>
    <w:p>
      <w:pPr>
        <w:pStyle w:val="Heading2"/>
        <w:spacing w:before="240" w:after="80"/>
      </w:pPr>
      <w:r>
        <w:t>Export Approved PDF</w:t>
      </w:r>
    </w:p>
    <w:p>
      <w:pPr>
        <w:spacing w:after="80" w:before="0"/>
      </w:pPr>
      <w:r>
        <w:rPr>
          <w:rFonts w:ascii="Calibri" w:hAnsi="Calibri"/>
          <w:sz w:val="22"/>
        </w:rPr>
        <w:t>Generates a PDF including:</w:t>
      </w:r>
    </w:p>
    <w:p>
      <w:pPr>
        <w:pStyle w:val="ListBullet"/>
        <w:spacing w:after="40" w:before="20"/>
      </w:pPr>
      <w:r>
        <w:rPr>
          <w:rFonts w:ascii="Calibri" w:hAnsi="Calibri"/>
          <w:b w:val="0"/>
          <w:i w:val="0"/>
          <w:sz w:val="22"/>
        </w:rPr>
        <w:t>Plan header (MVA Number, Author, Date, Input Method)</w:t>
      </w:r>
    </w:p>
    <w:p>
      <w:pPr>
        <w:pStyle w:val="ListBullet"/>
        <w:spacing w:after="40" w:before="20"/>
      </w:pPr>
      <w:r>
        <w:rPr>
          <w:rFonts w:ascii="Calibri" w:hAnsi="Calibri"/>
          <w:b w:val="0"/>
          <w:i w:val="0"/>
          <w:sz w:val="22"/>
        </w:rPr>
        <w:t>All inspection cards with full Author data and completed TAR assessment fields</w:t>
      </w:r>
    </w:p>
    <w:p>
      <w:pPr>
        <w:pStyle w:val="ListBullet"/>
        <w:spacing w:after="40" w:before="20"/>
      </w:pPr>
      <w:r>
        <w:rPr>
          <w:rFonts w:ascii="Calibri" w:hAnsi="Calibri"/>
          <w:b w:val="0"/>
          <w:i w:val="0"/>
          <w:sz w:val="22"/>
        </w:rPr>
        <w:t>Authorisation &amp; Approval block populated with TAR Holder name, date, employer number, and a note indicating a digital certificate is attached</w:t>
      </w:r>
    </w:p>
    <w:p>
      <w:pPr>
        <w:spacing w:after="80" w:before="0"/>
      </w:pPr>
      <w:r>
        <w:rPr>
          <w:rFonts w:ascii="Calibri" w:hAnsi="Calibri"/>
          <w:sz w:val="22"/>
        </w:rPr>
        <w:t>The TAR Holder then applies their digital certificate signature externally (e.g. Adobe Acrobat) and saves the signed PDF.</w:t>
      </w:r>
    </w:p>
    <w:p>
      <w:pPr>
        <w:pStyle w:val="Heading2"/>
        <w:spacing w:before="240" w:after="80"/>
      </w:pPr>
      <w:r>
        <w:t>Email Back to Author</w:t>
      </w:r>
    </w:p>
    <w:p>
      <w:pPr>
        <w:spacing w:after="80" w:before="0"/>
      </w:pPr>
      <w:r>
        <w:rPr>
          <w:rFonts w:ascii="Calibri" w:hAnsi="Calibri"/>
          <w:sz w:val="22"/>
        </w:rPr>
        <w:t>The TAR Holder selects the externally-signed PDF via a file picker. The application creates an Outlook draft addressed to the Author (email stored in the plan from when Author sent; prompted if absent), with the signed PDF attached and approval details in the body.</w:t>
      </w:r>
    </w:p>
    <w:p>
      <w:r>
        <w:br w:type="page"/>
      </w:r>
    </w:p>
    <w:p>
      <w:pPr>
        <w:pStyle w:val="Heading1"/>
        <w:spacing w:before="240" w:after="80"/>
      </w:pPr>
      <w:r>
        <w:t>7.  PDF Generation</w:t>
      </w:r>
    </w:p>
    <w:p>
      <w:pPr>
        <w:spacing w:after="80" w:before="0"/>
      </w:pPr>
      <w:r>
        <w:rPr>
          <w:rFonts w:ascii="Calibri" w:hAnsi="Calibri"/>
          <w:sz w:val="22"/>
        </w:rPr>
        <w:t>PDFs are generated using ReportLab. The layout uses nested Table elements to reproduce the visual style of the original Excel document.</w:t>
      </w:r>
    </w:p>
    <w:p>
      <w:pPr>
        <w:pStyle w:val="Heading2"/>
        <w:spacing w:before="240" w:after="80"/>
      </w:pPr>
      <w:r>
        <w:t>Colour Coding</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1984"/>
            <w:shd w:val="clear" w:color="auto" w:fill="1F3864"/>
            <w:vAlign w:val="center"/>
          </w:tcPr>
          <w:p>
            <w:pPr>
              <w:spacing w:before="60" w:after="60"/>
              <w:jc w:val="left"/>
            </w:pPr>
            <w:r>
              <w:rPr>
                <w:rFonts w:ascii="Calibri" w:hAnsi="Calibri"/>
                <w:b/>
                <w:i w:val="0"/>
                <w:color w:val="FFFFFF"/>
                <w:sz w:val="20"/>
              </w:rPr>
              <w:t>Colour</w:t>
            </w:r>
          </w:p>
        </w:tc>
        <w:tc>
          <w:tcPr>
            <w:tcW w:type="dxa" w:w="1701"/>
            <w:shd w:val="clear" w:color="auto" w:fill="1F3864"/>
            <w:vAlign w:val="center"/>
          </w:tcPr>
          <w:p>
            <w:pPr>
              <w:spacing w:before="60" w:after="60"/>
              <w:jc w:val="left"/>
            </w:pPr>
            <w:r>
              <w:rPr>
                <w:rFonts w:ascii="Calibri" w:hAnsi="Calibri"/>
                <w:b/>
                <w:i w:val="0"/>
                <w:color w:val="FFFFFF"/>
                <w:sz w:val="20"/>
              </w:rPr>
              <w:t>Hex</w:t>
            </w:r>
          </w:p>
        </w:tc>
        <w:tc>
          <w:tcPr>
            <w:tcW w:type="dxa" w:w="5102"/>
            <w:shd w:val="clear" w:color="auto" w:fill="1F3864"/>
            <w:vAlign w:val="center"/>
          </w:tcPr>
          <w:p>
            <w:pPr>
              <w:spacing w:before="60" w:after="60"/>
              <w:jc w:val="left"/>
            </w:pPr>
            <w:r>
              <w:rPr>
                <w:rFonts w:ascii="Calibri" w:hAnsi="Calibri"/>
                <w:b/>
                <w:i w:val="0"/>
                <w:color w:val="FFFFFF"/>
                <w:sz w:val="20"/>
              </w:rPr>
              <w:t>Usage</w:t>
            </w:r>
          </w:p>
        </w:tc>
      </w:tr>
      <w:tr>
        <w:tc>
          <w:tcPr>
            <w:tcW w:type="dxa" w:w="1984"/>
            <w:shd w:val="clear" w:color="auto" w:fill="FFFFFF"/>
            <w:vAlign w:val="center"/>
          </w:tcPr>
          <w:p>
            <w:pPr>
              <w:spacing w:before="40" w:after="40"/>
              <w:jc w:val="left"/>
            </w:pPr>
            <w:r>
              <w:rPr>
                <w:rFonts w:ascii="Calibri" w:hAnsi="Calibri"/>
                <w:b w:val="0"/>
                <w:i w:val="0"/>
                <w:sz w:val="20"/>
              </w:rPr>
              <w:t>Navy</w:t>
            </w:r>
          </w:p>
        </w:tc>
        <w:tc>
          <w:tcPr>
            <w:tcW w:type="dxa" w:w="1701"/>
            <w:shd w:val="clear" w:color="auto" w:fill="FFFFFF"/>
            <w:vAlign w:val="center"/>
          </w:tcPr>
          <w:p>
            <w:pPr>
              <w:spacing w:before="40" w:after="40"/>
              <w:jc w:val="left"/>
            </w:pPr>
            <w:r>
              <w:rPr>
                <w:rFonts w:ascii="Calibri" w:hAnsi="Calibri"/>
                <w:b w:val="0"/>
                <w:i w:val="0"/>
                <w:sz w:val="20"/>
              </w:rPr>
              <w:t>#1F3864</w:t>
            </w:r>
          </w:p>
        </w:tc>
        <w:tc>
          <w:tcPr>
            <w:tcW w:type="dxa" w:w="5102"/>
            <w:shd w:val="clear" w:color="auto" w:fill="FFFFFF"/>
            <w:vAlign w:val="center"/>
          </w:tcPr>
          <w:p>
            <w:pPr>
              <w:spacing w:before="40" w:after="40"/>
              <w:jc w:val="left"/>
            </w:pPr>
            <w:r>
              <w:rPr>
                <w:rFonts w:ascii="Calibri" w:hAnsi="Calibri"/>
                <w:b w:val="0"/>
                <w:i w:val="0"/>
                <w:sz w:val="20"/>
              </w:rPr>
              <w:t>Headers and primary elements</w:t>
            </w:r>
          </w:p>
        </w:tc>
      </w:tr>
      <w:tr>
        <w:tc>
          <w:tcPr>
            <w:tcW w:type="dxa" w:w="1984"/>
            <w:shd w:val="clear" w:color="auto" w:fill="F7F9FC"/>
            <w:vAlign w:val="center"/>
          </w:tcPr>
          <w:p>
            <w:pPr>
              <w:spacing w:before="40" w:after="40"/>
              <w:jc w:val="left"/>
            </w:pPr>
            <w:r>
              <w:rPr>
                <w:rFonts w:ascii="Calibri" w:hAnsi="Calibri"/>
                <w:b w:val="0"/>
                <w:i w:val="0"/>
                <w:sz w:val="20"/>
              </w:rPr>
              <w:t>Amber</w:t>
            </w:r>
          </w:p>
        </w:tc>
        <w:tc>
          <w:tcPr>
            <w:tcW w:type="dxa" w:w="1701"/>
            <w:shd w:val="clear" w:color="auto" w:fill="F7F9FC"/>
            <w:vAlign w:val="center"/>
          </w:tcPr>
          <w:p>
            <w:pPr>
              <w:spacing w:before="40" w:after="40"/>
              <w:jc w:val="left"/>
            </w:pPr>
            <w:r>
              <w:rPr>
                <w:rFonts w:ascii="Calibri" w:hAnsi="Calibri"/>
                <w:b w:val="0"/>
                <w:i w:val="0"/>
                <w:sz w:val="20"/>
              </w:rPr>
              <w:t>#FFD966</w:t>
            </w:r>
          </w:p>
        </w:tc>
        <w:tc>
          <w:tcPr>
            <w:tcW w:type="dxa" w:w="5102"/>
            <w:shd w:val="clear" w:color="auto" w:fill="F7F9FC"/>
            <w:vAlign w:val="center"/>
          </w:tcPr>
          <w:p>
            <w:pPr>
              <w:spacing w:before="40" w:after="40"/>
              <w:jc w:val="left"/>
            </w:pPr>
            <w:r>
              <w:rPr>
                <w:rFonts w:ascii="Calibri" w:hAnsi="Calibri"/>
                <w:b w:val="0"/>
                <w:i w:val="0"/>
                <w:sz w:val="20"/>
              </w:rPr>
              <w:t>Card field label rows</w:t>
            </w:r>
          </w:p>
        </w:tc>
      </w:tr>
      <w:tr>
        <w:tc>
          <w:tcPr>
            <w:tcW w:type="dxa" w:w="1984"/>
            <w:shd w:val="clear" w:color="auto" w:fill="FFFFFF"/>
            <w:vAlign w:val="center"/>
          </w:tcPr>
          <w:p>
            <w:pPr>
              <w:spacing w:before="40" w:after="40"/>
              <w:jc w:val="left"/>
            </w:pPr>
            <w:r>
              <w:rPr>
                <w:rFonts w:ascii="Calibri" w:hAnsi="Calibri"/>
                <w:b w:val="0"/>
                <w:i w:val="0"/>
                <w:sz w:val="20"/>
              </w:rPr>
              <w:t>Sky blue</w:t>
            </w:r>
          </w:p>
        </w:tc>
        <w:tc>
          <w:tcPr>
            <w:tcW w:type="dxa" w:w="1701"/>
            <w:shd w:val="clear" w:color="auto" w:fill="FFFFFF"/>
            <w:vAlign w:val="center"/>
          </w:tcPr>
          <w:p>
            <w:pPr>
              <w:spacing w:before="40" w:after="40"/>
              <w:jc w:val="left"/>
            </w:pPr>
            <w:r>
              <w:rPr>
                <w:rFonts w:ascii="Calibri" w:hAnsi="Calibri"/>
                <w:b w:val="0"/>
                <w:i w:val="0"/>
                <w:sz w:val="20"/>
              </w:rPr>
              <w:t>#DEEAF6</w:t>
            </w:r>
          </w:p>
        </w:tc>
        <w:tc>
          <w:tcPr>
            <w:tcW w:type="dxa" w:w="5102"/>
            <w:shd w:val="clear" w:color="auto" w:fill="FFFFFF"/>
            <w:vAlign w:val="center"/>
          </w:tcPr>
          <w:p>
            <w:pPr>
              <w:spacing w:before="40" w:after="40"/>
              <w:jc w:val="left"/>
            </w:pPr>
            <w:r>
              <w:rPr>
                <w:rFonts w:ascii="Calibri" w:hAnsi="Calibri"/>
                <w:b w:val="0"/>
                <w:i w:val="0"/>
                <w:sz w:val="20"/>
              </w:rPr>
              <w:t>Reference rows and plan info</w:t>
            </w:r>
          </w:p>
        </w:tc>
      </w:tr>
      <w:tr>
        <w:tc>
          <w:tcPr>
            <w:tcW w:type="dxa" w:w="1984"/>
            <w:shd w:val="clear" w:color="auto" w:fill="F7F9FC"/>
            <w:vAlign w:val="center"/>
          </w:tcPr>
          <w:p>
            <w:pPr>
              <w:spacing w:before="40" w:after="40"/>
              <w:jc w:val="left"/>
            </w:pPr>
            <w:r>
              <w:rPr>
                <w:rFonts w:ascii="Calibri" w:hAnsi="Calibri"/>
                <w:b w:val="0"/>
                <w:i w:val="0"/>
                <w:sz w:val="20"/>
              </w:rPr>
              <w:t>Light green</w:t>
            </w:r>
          </w:p>
        </w:tc>
        <w:tc>
          <w:tcPr>
            <w:tcW w:type="dxa" w:w="1701"/>
            <w:shd w:val="clear" w:color="auto" w:fill="F7F9FC"/>
            <w:vAlign w:val="center"/>
          </w:tcPr>
          <w:p>
            <w:pPr>
              <w:spacing w:before="40" w:after="40"/>
              <w:jc w:val="left"/>
            </w:pPr>
            <w:r>
              <w:rPr>
                <w:rFonts w:ascii="Calibri" w:hAnsi="Calibri"/>
                <w:b w:val="0"/>
                <w:i w:val="0"/>
                <w:sz w:val="20"/>
              </w:rPr>
              <w:t>#EDF7EE</w:t>
            </w:r>
          </w:p>
        </w:tc>
        <w:tc>
          <w:tcPr>
            <w:tcW w:type="dxa" w:w="5102"/>
            <w:shd w:val="clear" w:color="auto" w:fill="F7F9FC"/>
            <w:vAlign w:val="center"/>
          </w:tcPr>
          <w:p>
            <w:pPr>
              <w:spacing w:before="40" w:after="40"/>
              <w:jc w:val="left"/>
            </w:pPr>
            <w:r>
              <w:rPr>
                <w:rFonts w:ascii="Calibri" w:hAnsi="Calibri"/>
                <w:b w:val="0"/>
                <w:i w:val="0"/>
                <w:sz w:val="20"/>
              </w:rPr>
              <w:t>TAR assessment sections</w:t>
            </w:r>
          </w:p>
        </w:tc>
      </w:tr>
      <w:tr>
        <w:tc>
          <w:tcPr>
            <w:tcW w:type="dxa" w:w="1984"/>
            <w:shd w:val="clear" w:color="auto" w:fill="FFFFFF"/>
            <w:vAlign w:val="center"/>
          </w:tcPr>
          <w:p>
            <w:pPr>
              <w:spacing w:before="40" w:after="40"/>
              <w:jc w:val="left"/>
            </w:pPr>
            <w:r>
              <w:rPr>
                <w:rFonts w:ascii="Calibri" w:hAnsi="Calibri"/>
                <w:b w:val="0"/>
                <w:i w:val="0"/>
                <w:sz w:val="20"/>
              </w:rPr>
              <w:t>Dark green</w:t>
            </w:r>
          </w:p>
        </w:tc>
        <w:tc>
          <w:tcPr>
            <w:tcW w:type="dxa" w:w="1701"/>
            <w:shd w:val="clear" w:color="auto" w:fill="FFFFFF"/>
            <w:vAlign w:val="center"/>
          </w:tcPr>
          <w:p>
            <w:pPr>
              <w:spacing w:before="40" w:after="40"/>
              <w:jc w:val="left"/>
            </w:pPr>
            <w:r>
              <w:rPr>
                <w:rFonts w:ascii="Calibri" w:hAnsi="Calibri"/>
                <w:b w:val="0"/>
                <w:i w:val="0"/>
                <w:sz w:val="20"/>
              </w:rPr>
              <w:t>#1E4620</w:t>
            </w:r>
          </w:p>
        </w:tc>
        <w:tc>
          <w:tcPr>
            <w:tcW w:type="dxa" w:w="5102"/>
            <w:shd w:val="clear" w:color="auto" w:fill="FFFFFF"/>
            <w:vAlign w:val="center"/>
          </w:tcPr>
          <w:p>
            <w:pPr>
              <w:spacing w:before="40" w:after="40"/>
              <w:jc w:val="left"/>
            </w:pPr>
            <w:r>
              <w:rPr>
                <w:rFonts w:ascii="Calibri" w:hAnsi="Calibri"/>
                <w:b w:val="0"/>
                <w:i w:val="0"/>
                <w:sz w:val="20"/>
              </w:rPr>
              <w:t>TAR section headers</w:t>
            </w:r>
          </w:p>
        </w:tc>
      </w:tr>
      <w:tr>
        <w:tc>
          <w:tcPr>
            <w:tcW w:type="dxa" w:w="1984"/>
            <w:shd w:val="clear" w:color="auto" w:fill="F7F9FC"/>
            <w:vAlign w:val="center"/>
          </w:tcPr>
          <w:p>
            <w:pPr>
              <w:spacing w:before="40" w:after="40"/>
              <w:jc w:val="left"/>
            </w:pPr>
            <w:r>
              <w:rPr>
                <w:rFonts w:ascii="Calibri" w:hAnsi="Calibri"/>
                <w:b w:val="0"/>
                <w:i w:val="0"/>
                <w:sz w:val="20"/>
              </w:rPr>
              <w:t>Cream</w:t>
            </w:r>
          </w:p>
        </w:tc>
        <w:tc>
          <w:tcPr>
            <w:tcW w:type="dxa" w:w="1701"/>
            <w:shd w:val="clear" w:color="auto" w:fill="F7F9FC"/>
            <w:vAlign w:val="center"/>
          </w:tcPr>
          <w:p>
            <w:pPr>
              <w:spacing w:before="40" w:after="40"/>
              <w:jc w:val="left"/>
            </w:pPr>
            <w:r>
              <w:rPr>
                <w:rFonts w:ascii="Calibri" w:hAnsi="Calibri"/>
                <w:b w:val="0"/>
                <w:i w:val="0"/>
                <w:sz w:val="20"/>
              </w:rPr>
              <w:t>#FFFDE7</w:t>
            </w:r>
          </w:p>
        </w:tc>
        <w:tc>
          <w:tcPr>
            <w:tcW w:type="dxa" w:w="5102"/>
            <w:shd w:val="clear" w:color="auto" w:fill="F7F9FC"/>
            <w:vAlign w:val="center"/>
          </w:tcPr>
          <w:p>
            <w:pPr>
              <w:spacing w:before="40" w:after="40"/>
              <w:jc w:val="left"/>
            </w:pPr>
            <w:r>
              <w:rPr>
                <w:rFonts w:ascii="Calibri" w:hAnsi="Calibri"/>
                <w:b w:val="0"/>
                <w:i w:val="0"/>
                <w:sz w:val="20"/>
              </w:rPr>
              <w:t>Description text areas</w:t>
            </w:r>
          </w:p>
        </w:tc>
      </w:tr>
    </w:tbl>
    <w:p>
      <w:pPr>
        <w:spacing w:after="80" w:before="0"/>
      </w:pPr>
      <w:r>
        <w:rPr>
          <w:rFonts w:ascii="Calibri" w:hAnsi="Calibri"/>
          <w:sz w:val="22"/>
        </w:rPr>
        <w:t>Two card layouts are supported: Manual (full field grid) and Automated (header + description only). Both modes include the TAR assessment block.</w:t>
      </w:r>
    </w:p>
    <w:p>
      <w:pPr>
        <w:pStyle w:val="Heading1"/>
        <w:spacing w:before="240" w:after="80"/>
      </w:pPr>
      <w:r>
        <w:t>8.  Key Classes &amp; Functions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2551"/>
            <w:shd w:val="clear" w:color="auto" w:fill="1F3864"/>
            <w:vAlign w:val="center"/>
          </w:tcPr>
          <w:p>
            <w:pPr>
              <w:spacing w:before="60" w:after="60"/>
              <w:jc w:val="left"/>
            </w:pPr>
            <w:r>
              <w:rPr>
                <w:rFonts w:ascii="Calibri" w:hAnsi="Calibri"/>
                <w:b/>
                <w:i w:val="0"/>
                <w:color w:val="FFFFFF"/>
                <w:sz w:val="20"/>
              </w:rPr>
              <w:t>Name</w:t>
            </w:r>
          </w:p>
        </w:tc>
        <w:tc>
          <w:tcPr>
            <w:tcW w:type="dxa" w:w="1587"/>
            <w:shd w:val="clear" w:color="auto" w:fill="1F3864"/>
            <w:vAlign w:val="center"/>
          </w:tcPr>
          <w:p>
            <w:pPr>
              <w:spacing w:before="60" w:after="60"/>
              <w:jc w:val="left"/>
            </w:pPr>
            <w:r>
              <w:rPr>
                <w:rFonts w:ascii="Calibri" w:hAnsi="Calibri"/>
                <w:b/>
                <w:i w:val="0"/>
                <w:color w:val="FFFFFF"/>
                <w:sz w:val="20"/>
              </w:rPr>
              <w:t>Type</w:t>
            </w:r>
          </w:p>
        </w:tc>
        <w:tc>
          <w:tcPr>
            <w:tcW w:type="dxa" w:w="4649"/>
            <w:shd w:val="clear" w:color="auto" w:fill="1F3864"/>
            <w:vAlign w:val="center"/>
          </w:tcPr>
          <w:p>
            <w:pPr>
              <w:spacing w:before="60" w:after="60"/>
              <w:jc w:val="left"/>
            </w:pPr>
            <w:r>
              <w:rPr>
                <w:rFonts w:ascii="Calibri" w:hAnsi="Calibri"/>
                <w:b/>
                <w:i w:val="0"/>
                <w:color w:val="FFFFFF"/>
                <w:sz w:val="20"/>
              </w:rPr>
              <w:t>Description</w:t>
            </w:r>
          </w:p>
        </w:tc>
      </w:tr>
      <w:tr>
        <w:tc>
          <w:tcPr>
            <w:tcW w:type="dxa" w:w="2551"/>
            <w:shd w:val="clear" w:color="auto" w:fill="FFFFFF"/>
            <w:vAlign w:val="center"/>
          </w:tcPr>
          <w:p>
            <w:pPr>
              <w:spacing w:before="40" w:after="40"/>
              <w:jc w:val="left"/>
            </w:pPr>
            <w:r>
              <w:rPr>
                <w:rFonts w:ascii="Calibri" w:hAnsi="Calibri"/>
                <w:b w:val="0"/>
                <w:i w:val="0"/>
                <w:sz w:val="20"/>
              </w:rPr>
              <w:t>TIPApp</w:t>
            </w:r>
          </w:p>
        </w:tc>
        <w:tc>
          <w:tcPr>
            <w:tcW w:type="dxa" w:w="1587"/>
            <w:shd w:val="clear" w:color="auto" w:fill="FFFFFF"/>
            <w:vAlign w:val="center"/>
          </w:tcPr>
          <w:p>
            <w:pPr>
              <w:spacing w:before="40" w:after="40"/>
              <w:jc w:val="left"/>
            </w:pPr>
            <w:r>
              <w:rPr>
                <w:rFonts w:ascii="Calibri" w:hAnsi="Calibri"/>
                <w:b w:val="0"/>
                <w:i w:val="0"/>
                <w:sz w:val="20"/>
              </w:rPr>
              <w:t>Class</w:t>
            </w:r>
          </w:p>
        </w:tc>
        <w:tc>
          <w:tcPr>
            <w:tcW w:type="dxa" w:w="4649"/>
            <w:shd w:val="clear" w:color="auto" w:fill="FFFFFF"/>
            <w:vAlign w:val="center"/>
          </w:tcPr>
          <w:p>
            <w:pPr>
              <w:spacing w:before="40" w:after="40"/>
              <w:jc w:val="left"/>
            </w:pPr>
            <w:r>
              <w:rPr>
                <w:rFonts w:ascii="Calibri" w:hAnsi="Calibri"/>
                <w:b w:val="0"/>
                <w:i w:val="0"/>
                <w:sz w:val="20"/>
              </w:rPr>
              <w:t>Main window shell; manages view switching, header, status bar</w:t>
            </w:r>
          </w:p>
        </w:tc>
      </w:tr>
      <w:tr>
        <w:tc>
          <w:tcPr>
            <w:tcW w:type="dxa" w:w="2551"/>
            <w:shd w:val="clear" w:color="auto" w:fill="F7F9FC"/>
            <w:vAlign w:val="center"/>
          </w:tcPr>
          <w:p>
            <w:pPr>
              <w:spacing w:before="40" w:after="40"/>
              <w:jc w:val="left"/>
            </w:pPr>
            <w:r>
              <w:rPr>
                <w:rFonts w:ascii="Calibri" w:hAnsi="Calibri"/>
                <w:b w:val="0"/>
                <w:i w:val="0"/>
                <w:sz w:val="20"/>
              </w:rPr>
              <w:t>LaunchView</w:t>
            </w:r>
          </w:p>
        </w:tc>
        <w:tc>
          <w:tcPr>
            <w:tcW w:type="dxa" w:w="1587"/>
            <w:shd w:val="clear" w:color="auto" w:fill="F7F9FC"/>
            <w:vAlign w:val="center"/>
          </w:tcPr>
          <w:p>
            <w:pPr>
              <w:spacing w:before="40" w:after="40"/>
              <w:jc w:val="left"/>
            </w:pPr>
            <w:r>
              <w:rPr>
                <w:rFonts w:ascii="Calibri" w:hAnsi="Calibri"/>
                <w:b w:val="0"/>
                <w:i w:val="0"/>
                <w:sz w:val="20"/>
              </w:rPr>
              <w:t>Class</w:t>
            </w:r>
          </w:p>
        </w:tc>
        <w:tc>
          <w:tcPr>
            <w:tcW w:type="dxa" w:w="4649"/>
            <w:shd w:val="clear" w:color="auto" w:fill="F7F9FC"/>
            <w:vAlign w:val="center"/>
          </w:tcPr>
          <w:p>
            <w:pPr>
              <w:spacing w:before="40" w:after="40"/>
              <w:jc w:val="left"/>
            </w:pPr>
            <w:r>
              <w:rPr>
                <w:rFonts w:ascii="Calibri" w:hAnsi="Calibri"/>
                <w:b w:val="0"/>
                <w:i w:val="0"/>
                <w:sz w:val="20"/>
              </w:rPr>
              <w:t>Home screen with Create New / Open Existing paths</w:t>
            </w:r>
          </w:p>
        </w:tc>
      </w:tr>
      <w:tr>
        <w:tc>
          <w:tcPr>
            <w:tcW w:type="dxa" w:w="2551"/>
            <w:shd w:val="clear" w:color="auto" w:fill="FFFFFF"/>
            <w:vAlign w:val="center"/>
          </w:tcPr>
          <w:p>
            <w:pPr>
              <w:spacing w:before="40" w:after="40"/>
              <w:jc w:val="left"/>
            </w:pPr>
            <w:r>
              <w:rPr>
                <w:rFonts w:ascii="Calibri" w:hAnsi="Calibri"/>
                <w:b w:val="0"/>
                <w:i w:val="0"/>
                <w:sz w:val="20"/>
              </w:rPr>
              <w:t>AuthorView</w:t>
            </w:r>
          </w:p>
        </w:tc>
        <w:tc>
          <w:tcPr>
            <w:tcW w:type="dxa" w:w="1587"/>
            <w:shd w:val="clear" w:color="auto" w:fill="FFFFFF"/>
            <w:vAlign w:val="center"/>
          </w:tcPr>
          <w:p>
            <w:pPr>
              <w:spacing w:before="40" w:after="40"/>
              <w:jc w:val="left"/>
            </w:pPr>
            <w:r>
              <w:rPr>
                <w:rFonts w:ascii="Calibri" w:hAnsi="Calibri"/>
                <w:b w:val="0"/>
                <w:i w:val="0"/>
                <w:sz w:val="20"/>
              </w:rPr>
              <w:t>Class</w:t>
            </w:r>
          </w:p>
        </w:tc>
        <w:tc>
          <w:tcPr>
            <w:tcW w:type="dxa" w:w="4649"/>
            <w:shd w:val="clear" w:color="auto" w:fill="FFFFFF"/>
            <w:vAlign w:val="center"/>
          </w:tcPr>
          <w:p>
            <w:pPr>
              <w:spacing w:before="40" w:after="40"/>
              <w:jc w:val="left"/>
            </w:pPr>
            <w:r>
              <w:rPr>
                <w:rFonts w:ascii="Calibri" w:hAnsi="Calibri"/>
                <w:b w:val="0"/>
                <w:i w:val="0"/>
                <w:sz w:val="20"/>
              </w:rPr>
              <w:t>3-step Author flow; owns plan/cards state during authoring</w:t>
            </w:r>
          </w:p>
        </w:tc>
      </w:tr>
      <w:tr>
        <w:tc>
          <w:tcPr>
            <w:tcW w:type="dxa" w:w="2551"/>
            <w:shd w:val="clear" w:color="auto" w:fill="F7F9FC"/>
            <w:vAlign w:val="center"/>
          </w:tcPr>
          <w:p>
            <w:pPr>
              <w:spacing w:before="40" w:after="40"/>
              <w:jc w:val="left"/>
            </w:pPr>
            <w:r>
              <w:rPr>
                <w:rFonts w:ascii="Calibri" w:hAnsi="Calibri"/>
                <w:b w:val="0"/>
                <w:i w:val="0"/>
                <w:sz w:val="20"/>
              </w:rPr>
              <w:t>TARHolderView</w:t>
            </w:r>
          </w:p>
        </w:tc>
        <w:tc>
          <w:tcPr>
            <w:tcW w:type="dxa" w:w="1587"/>
            <w:shd w:val="clear" w:color="auto" w:fill="F7F9FC"/>
            <w:vAlign w:val="center"/>
          </w:tcPr>
          <w:p>
            <w:pPr>
              <w:spacing w:before="40" w:after="40"/>
              <w:jc w:val="left"/>
            </w:pPr>
            <w:r>
              <w:rPr>
                <w:rFonts w:ascii="Calibri" w:hAnsi="Calibri"/>
                <w:b w:val="0"/>
                <w:i w:val="0"/>
                <w:sz w:val="20"/>
              </w:rPr>
              <w:t>Class</w:t>
            </w:r>
          </w:p>
        </w:tc>
        <w:tc>
          <w:tcPr>
            <w:tcW w:type="dxa" w:w="4649"/>
            <w:shd w:val="clear" w:color="auto" w:fill="F7F9FC"/>
            <w:vAlign w:val="center"/>
          </w:tcPr>
          <w:p>
            <w:pPr>
              <w:spacing w:before="40" w:after="40"/>
              <w:jc w:val="left"/>
            </w:pPr>
            <w:r>
              <w:rPr>
                <w:rFonts w:ascii="Calibri" w:hAnsi="Calibri"/>
                <w:b w:val="0"/>
                <w:i w:val="0"/>
                <w:sz w:val="20"/>
              </w:rPr>
              <w:t>TAR review interface; owns cards and tar_holder state</w:t>
            </w:r>
          </w:p>
        </w:tc>
      </w:tr>
      <w:tr>
        <w:tc>
          <w:tcPr>
            <w:tcW w:type="dxa" w:w="2551"/>
            <w:shd w:val="clear" w:color="auto" w:fill="FFFFFF"/>
            <w:vAlign w:val="center"/>
          </w:tcPr>
          <w:p>
            <w:pPr>
              <w:spacing w:before="40" w:after="40"/>
              <w:jc w:val="left"/>
            </w:pPr>
            <w:r>
              <w:rPr>
                <w:rFonts w:ascii="Calibri" w:hAnsi="Calibri"/>
                <w:b w:val="0"/>
                <w:i w:val="0"/>
                <w:sz w:val="20"/>
              </w:rPr>
              <w:t>CardDialog</w:t>
            </w:r>
          </w:p>
        </w:tc>
        <w:tc>
          <w:tcPr>
            <w:tcW w:type="dxa" w:w="1587"/>
            <w:shd w:val="clear" w:color="auto" w:fill="FFFFFF"/>
            <w:vAlign w:val="center"/>
          </w:tcPr>
          <w:p>
            <w:pPr>
              <w:spacing w:before="40" w:after="40"/>
              <w:jc w:val="left"/>
            </w:pPr>
            <w:r>
              <w:rPr>
                <w:rFonts w:ascii="Calibri" w:hAnsi="Calibri"/>
                <w:b w:val="0"/>
                <w:i w:val="0"/>
                <w:sz w:val="20"/>
              </w:rPr>
              <w:t>Class</w:t>
            </w:r>
          </w:p>
        </w:tc>
        <w:tc>
          <w:tcPr>
            <w:tcW w:type="dxa" w:w="4649"/>
            <w:shd w:val="clear" w:color="auto" w:fill="FFFFFF"/>
            <w:vAlign w:val="center"/>
          </w:tcPr>
          <w:p>
            <w:pPr>
              <w:spacing w:before="40" w:after="40"/>
              <w:jc w:val="left"/>
            </w:pPr>
            <w:r>
              <w:rPr>
                <w:rFonts w:ascii="Calibri" w:hAnsi="Calibri"/>
                <w:b w:val="0"/>
                <w:i w:val="0"/>
                <w:sz w:val="20"/>
              </w:rPr>
              <w:t>Author card add/edit dialog (no TAR fields)</w:t>
            </w:r>
          </w:p>
        </w:tc>
      </w:tr>
      <w:tr>
        <w:tc>
          <w:tcPr>
            <w:tcW w:type="dxa" w:w="2551"/>
            <w:shd w:val="clear" w:color="auto" w:fill="F7F9FC"/>
            <w:vAlign w:val="center"/>
          </w:tcPr>
          <w:p>
            <w:pPr>
              <w:spacing w:before="40" w:after="40"/>
              <w:jc w:val="left"/>
            </w:pPr>
            <w:r>
              <w:rPr>
                <w:rFonts w:ascii="Calibri" w:hAnsi="Calibri"/>
                <w:b w:val="0"/>
                <w:i w:val="0"/>
                <w:sz w:val="20"/>
              </w:rPr>
              <w:t>RoleDialog</w:t>
            </w:r>
          </w:p>
        </w:tc>
        <w:tc>
          <w:tcPr>
            <w:tcW w:type="dxa" w:w="1587"/>
            <w:shd w:val="clear" w:color="auto" w:fill="F7F9FC"/>
            <w:vAlign w:val="center"/>
          </w:tcPr>
          <w:p>
            <w:pPr>
              <w:spacing w:before="40" w:after="40"/>
              <w:jc w:val="left"/>
            </w:pPr>
            <w:r>
              <w:rPr>
                <w:rFonts w:ascii="Calibri" w:hAnsi="Calibri"/>
                <w:b w:val="0"/>
                <w:i w:val="0"/>
                <w:sz w:val="20"/>
              </w:rPr>
              <w:t>Class</w:t>
            </w:r>
          </w:p>
        </w:tc>
        <w:tc>
          <w:tcPr>
            <w:tcW w:type="dxa" w:w="4649"/>
            <w:shd w:val="clear" w:color="auto" w:fill="F7F9FC"/>
            <w:vAlign w:val="center"/>
          </w:tcPr>
          <w:p>
            <w:pPr>
              <w:spacing w:before="40" w:after="40"/>
              <w:jc w:val="left"/>
            </w:pPr>
            <w:r>
              <w:rPr>
                <w:rFonts w:ascii="Calibri" w:hAnsi="Calibri"/>
                <w:b w:val="0"/>
                <w:i w:val="0"/>
                <w:sz w:val="20"/>
              </w:rPr>
              <w:t>Role selection when opening an existing plan</w:t>
            </w:r>
          </w:p>
        </w:tc>
      </w:tr>
      <w:tr>
        <w:tc>
          <w:tcPr>
            <w:tcW w:type="dxa" w:w="2551"/>
            <w:shd w:val="clear" w:color="auto" w:fill="FFFFFF"/>
            <w:vAlign w:val="center"/>
          </w:tcPr>
          <w:p>
            <w:pPr>
              <w:spacing w:before="40" w:after="40"/>
              <w:jc w:val="left"/>
            </w:pPr>
            <w:r>
              <w:rPr>
                <w:rFonts w:ascii="Calibri" w:hAnsi="Calibri"/>
                <w:b w:val="0"/>
                <w:i w:val="0"/>
                <w:sz w:val="20"/>
              </w:rPr>
              <w:t>export_pdf()</w:t>
            </w:r>
          </w:p>
        </w:tc>
        <w:tc>
          <w:tcPr>
            <w:tcW w:type="dxa" w:w="1587"/>
            <w:shd w:val="clear" w:color="auto" w:fill="FFFFFF"/>
            <w:vAlign w:val="center"/>
          </w:tcPr>
          <w:p>
            <w:pPr>
              <w:spacing w:before="40" w:after="40"/>
              <w:jc w:val="left"/>
            </w:pPr>
            <w:r>
              <w:rPr>
                <w:rFonts w:ascii="Calibri" w:hAnsi="Calibri"/>
                <w:b w:val="0"/>
                <w:i w:val="0"/>
                <w:sz w:val="20"/>
              </w:rPr>
              <w:t>Function</w:t>
            </w:r>
          </w:p>
        </w:tc>
        <w:tc>
          <w:tcPr>
            <w:tcW w:type="dxa" w:w="4649"/>
            <w:shd w:val="clear" w:color="auto" w:fill="FFFFFF"/>
            <w:vAlign w:val="center"/>
          </w:tcPr>
          <w:p>
            <w:pPr>
              <w:spacing w:before="40" w:after="40"/>
              <w:jc w:val="left"/>
            </w:pPr>
            <w:r>
              <w:rPr>
                <w:rFonts w:ascii="Calibri" w:hAnsi="Calibri"/>
                <w:b w:val="0"/>
                <w:i w:val="0"/>
                <w:sz w:val="20"/>
              </w:rPr>
              <w:t>Generates A4 PDF from plan, cards, and optional tar_holder data</w:t>
            </w:r>
          </w:p>
        </w:tc>
      </w:tr>
      <w:tr>
        <w:tc>
          <w:tcPr>
            <w:tcW w:type="dxa" w:w="2551"/>
            <w:shd w:val="clear" w:color="auto" w:fill="F7F9FC"/>
            <w:vAlign w:val="center"/>
          </w:tcPr>
          <w:p>
            <w:pPr>
              <w:spacing w:before="40" w:after="40"/>
              <w:jc w:val="left"/>
            </w:pPr>
            <w:r>
              <w:rPr>
                <w:rFonts w:ascii="Calibri" w:hAnsi="Calibri"/>
                <w:b w:val="0"/>
                <w:i w:val="0"/>
                <w:sz w:val="20"/>
              </w:rPr>
              <w:t>save_plan()</w:t>
            </w:r>
          </w:p>
        </w:tc>
        <w:tc>
          <w:tcPr>
            <w:tcW w:type="dxa" w:w="1587"/>
            <w:shd w:val="clear" w:color="auto" w:fill="F7F9FC"/>
            <w:vAlign w:val="center"/>
          </w:tcPr>
          <w:p>
            <w:pPr>
              <w:spacing w:before="40" w:after="40"/>
              <w:jc w:val="left"/>
            </w:pPr>
            <w:r>
              <w:rPr>
                <w:rFonts w:ascii="Calibri" w:hAnsi="Calibri"/>
                <w:b w:val="0"/>
                <w:i w:val="0"/>
                <w:sz w:val="20"/>
              </w:rPr>
              <w:t>Function</w:t>
            </w:r>
          </w:p>
        </w:tc>
        <w:tc>
          <w:tcPr>
            <w:tcW w:type="dxa" w:w="4649"/>
            <w:shd w:val="clear" w:color="auto" w:fill="F7F9FC"/>
            <w:vAlign w:val="center"/>
          </w:tcPr>
          <w:p>
            <w:pPr>
              <w:spacing w:before="40" w:after="40"/>
              <w:jc w:val="left"/>
            </w:pPr>
            <w:r>
              <w:rPr>
                <w:rFonts w:ascii="Calibri" w:hAnsi="Calibri"/>
                <w:b w:val="0"/>
                <w:i w:val="0"/>
                <w:sz w:val="20"/>
              </w:rPr>
              <w:t>Serialises plan, cards, tar_holder to JSON .tip file</w:t>
            </w:r>
          </w:p>
        </w:tc>
      </w:tr>
      <w:tr>
        <w:tc>
          <w:tcPr>
            <w:tcW w:type="dxa" w:w="2551"/>
            <w:shd w:val="clear" w:color="auto" w:fill="FFFFFF"/>
            <w:vAlign w:val="center"/>
          </w:tcPr>
          <w:p>
            <w:pPr>
              <w:spacing w:before="40" w:after="40"/>
              <w:jc w:val="left"/>
            </w:pPr>
            <w:r>
              <w:rPr>
                <w:rFonts w:ascii="Calibri" w:hAnsi="Calibri"/>
                <w:b w:val="0"/>
                <w:i w:val="0"/>
                <w:sz w:val="20"/>
              </w:rPr>
              <w:t>load_plan()</w:t>
            </w:r>
          </w:p>
        </w:tc>
        <w:tc>
          <w:tcPr>
            <w:tcW w:type="dxa" w:w="1587"/>
            <w:shd w:val="clear" w:color="auto" w:fill="FFFFFF"/>
            <w:vAlign w:val="center"/>
          </w:tcPr>
          <w:p>
            <w:pPr>
              <w:spacing w:before="40" w:after="40"/>
              <w:jc w:val="left"/>
            </w:pPr>
            <w:r>
              <w:rPr>
                <w:rFonts w:ascii="Calibri" w:hAnsi="Calibri"/>
                <w:b w:val="0"/>
                <w:i w:val="0"/>
                <w:sz w:val="20"/>
              </w:rPr>
              <w:t>Function</w:t>
            </w:r>
          </w:p>
        </w:tc>
        <w:tc>
          <w:tcPr>
            <w:tcW w:type="dxa" w:w="4649"/>
            <w:shd w:val="clear" w:color="auto" w:fill="FFFFFF"/>
            <w:vAlign w:val="center"/>
          </w:tcPr>
          <w:p>
            <w:pPr>
              <w:spacing w:before="40" w:after="40"/>
              <w:jc w:val="left"/>
            </w:pPr>
            <w:r>
              <w:rPr>
                <w:rFonts w:ascii="Calibri" w:hAnsi="Calibri"/>
                <w:b w:val="0"/>
                <w:i w:val="0"/>
                <w:sz w:val="20"/>
              </w:rPr>
              <w:t>Deserialises .tip file; returns plan, cards, tar_holder tuple</w:t>
            </w:r>
          </w:p>
        </w:tc>
      </w:tr>
      <w:tr>
        <w:tc>
          <w:tcPr>
            <w:tcW w:type="dxa" w:w="2551"/>
            <w:shd w:val="clear" w:color="auto" w:fill="F7F9FC"/>
            <w:vAlign w:val="center"/>
          </w:tcPr>
          <w:p>
            <w:pPr>
              <w:spacing w:before="40" w:after="40"/>
              <w:jc w:val="left"/>
            </w:pPr>
            <w:r>
              <w:rPr>
                <w:rFonts w:ascii="Calibri" w:hAnsi="Calibri"/>
                <w:b w:val="0"/>
                <w:i w:val="0"/>
                <w:sz w:val="20"/>
              </w:rPr>
              <w:t>import_netinspect()</w:t>
            </w:r>
          </w:p>
        </w:tc>
        <w:tc>
          <w:tcPr>
            <w:tcW w:type="dxa" w:w="1587"/>
            <w:shd w:val="clear" w:color="auto" w:fill="F7F9FC"/>
            <w:vAlign w:val="center"/>
          </w:tcPr>
          <w:p>
            <w:pPr>
              <w:spacing w:before="40" w:after="40"/>
              <w:jc w:val="left"/>
            </w:pPr>
            <w:r>
              <w:rPr>
                <w:rFonts w:ascii="Calibri" w:hAnsi="Calibri"/>
                <w:b w:val="0"/>
                <w:i w:val="0"/>
                <w:sz w:val="20"/>
              </w:rPr>
              <w:t>Function</w:t>
            </w:r>
          </w:p>
        </w:tc>
        <w:tc>
          <w:tcPr>
            <w:tcW w:type="dxa" w:w="4649"/>
            <w:shd w:val="clear" w:color="auto" w:fill="F7F9FC"/>
            <w:vAlign w:val="center"/>
          </w:tcPr>
          <w:p>
            <w:pPr>
              <w:spacing w:before="40" w:after="40"/>
              <w:jc w:val="left"/>
            </w:pPr>
            <w:r>
              <w:rPr>
                <w:rFonts w:ascii="Calibri" w:hAnsi="Calibri"/>
                <w:b w:val="0"/>
                <w:i w:val="0"/>
                <w:sz w:val="20"/>
              </w:rPr>
              <w:t>Parses NetInspect .xlsx export into card list</w:t>
            </w:r>
          </w:p>
        </w:tc>
      </w:tr>
      <w:tr>
        <w:tc>
          <w:tcPr>
            <w:tcW w:type="dxa" w:w="2551"/>
            <w:shd w:val="clear" w:color="auto" w:fill="FFFFFF"/>
            <w:vAlign w:val="center"/>
          </w:tcPr>
          <w:p>
            <w:pPr>
              <w:spacing w:before="40" w:after="40"/>
              <w:jc w:val="left"/>
            </w:pPr>
            <w:r>
              <w:rPr>
                <w:rFonts w:ascii="Calibri" w:hAnsi="Calibri"/>
                <w:b w:val="0"/>
                <w:i w:val="0"/>
                <w:sz w:val="20"/>
              </w:rPr>
              <w:t>send_outlook()</w:t>
            </w:r>
          </w:p>
        </w:tc>
        <w:tc>
          <w:tcPr>
            <w:tcW w:type="dxa" w:w="1587"/>
            <w:shd w:val="clear" w:color="auto" w:fill="FFFFFF"/>
            <w:vAlign w:val="center"/>
          </w:tcPr>
          <w:p>
            <w:pPr>
              <w:spacing w:before="40" w:after="40"/>
              <w:jc w:val="left"/>
            </w:pPr>
            <w:r>
              <w:rPr>
                <w:rFonts w:ascii="Calibri" w:hAnsi="Calibri"/>
                <w:b w:val="0"/>
                <w:i w:val="0"/>
                <w:sz w:val="20"/>
              </w:rPr>
              <w:t>Function</w:t>
            </w:r>
          </w:p>
        </w:tc>
        <w:tc>
          <w:tcPr>
            <w:tcW w:type="dxa" w:w="4649"/>
            <w:shd w:val="clear" w:color="auto" w:fill="FFFFFF"/>
            <w:vAlign w:val="center"/>
          </w:tcPr>
          <w:p>
            <w:pPr>
              <w:spacing w:before="40" w:after="40"/>
              <w:jc w:val="left"/>
            </w:pPr>
            <w:r>
              <w:rPr>
                <w:rFonts w:ascii="Calibri" w:hAnsi="Calibri"/>
                <w:b w:val="0"/>
                <w:i w:val="0"/>
                <w:sz w:val="20"/>
              </w:rPr>
              <w:t>Creates Outlook draft via COM automation (Windows only)</w:t>
            </w:r>
          </w:p>
        </w:tc>
      </w:tr>
    </w:tbl>
    <w:p>
      <w:pPr>
        <w:pStyle w:val="Heading1"/>
        <w:spacing w:before="240" w:after="80"/>
      </w:pPr>
      <w:r>
        <w:t>9.  Distribution</w:t>
      </w:r>
    </w:p>
    <w:p>
      <w:pPr>
        <w:spacing w:after="80" w:before="0"/>
      </w:pPr>
      <w:r>
        <w:rPr>
          <w:rFonts w:ascii="Calibri" w:hAnsi="Calibri"/>
          <w:sz w:val="22"/>
        </w:rPr>
        <w:t>The application is distributed as a single Windows executable compiled with PyInstaller. The TestInspectionPlan.spec file defines the build configuration, bundling the customtkinter theme assets.</w:t>
      </w:r>
    </w:p>
    <w:p>
      <w:pPr>
        <w:spacing w:after="80" w:before="0"/>
      </w:pPr>
      <w:r>
        <w:rPr>
          <w:rFonts w:ascii="Calibri" w:hAnsi="Calibri"/>
          <w:sz w:val="22"/>
        </w:rPr>
        <w:t>No Python installation is required on end-user machines. The executable is self-contained.</w:t>
      </w:r>
    </w:p>
    <w:p>
      <w:pPr>
        <w:pStyle w:val="Heading2"/>
        <w:spacing w:before="240" w:after="80"/>
      </w:pPr>
      <w:r>
        <w:t>Build Command</w:t>
      </w:r>
    </w:p>
    <w:p>
      <w:pPr>
        <w:spacing w:before="80" w:after="80"/>
        <w:ind w:left="170" w:right="170"/>
        <w:shd w:val="clear" w:color="auto" w:fill="F4F4F4"/>
        <w:pBdr>
          <w:left w:val="single" w:sz="20" w:space="4" w:color="1F3864"/>
        </w:pBdr>
      </w:pPr>
      <w:r>
        <w:rPr>
          <w:rFonts w:ascii="Courier New" w:hAnsi="Courier New"/>
          <w:color w:val="1A1A1A"/>
          <w:sz w:val="18"/>
        </w:rPr>
        <w:t>pyinstaller TestInspectionPlan.spec</w:t>
      </w:r>
    </w:p>
    <w:p>
      <w:pPr>
        <w:pStyle w:val="Heading2"/>
        <w:spacing w:before="240" w:after="80"/>
      </w:pPr>
      <w:r>
        <w:t>Output</w:t>
      </w:r>
    </w:p>
    <w:p>
      <w:pPr>
        <w:spacing w:before="80" w:after="80"/>
        <w:ind w:left="170" w:right="170"/>
        <w:shd w:val="clear" w:color="auto" w:fill="F4F4F4"/>
        <w:pBdr>
          <w:left w:val="single" w:sz="20" w:space="4" w:color="1F3864"/>
        </w:pBdr>
      </w:pPr>
      <w:r>
        <w:rPr>
          <w:rFonts w:ascii="Courier New" w:hAnsi="Courier New"/>
          <w:color w:val="1A1A1A"/>
          <w:sz w:val="18"/>
        </w:rPr>
        <w:t>dist\TestInspectionPlan.exe</w:t>
      </w:r>
    </w:p>
    <w:p>
      <w:pPr>
        <w:pStyle w:val="Heading1"/>
        <w:spacing w:before="240" w:after="80"/>
      </w:pPr>
      <w:r>
        <w:t>10.  Future Considerations</w:t>
      </w:r>
    </w:p>
    <w:p>
      <w:pPr>
        <w:spacing w:after="80" w:before="0"/>
      </w:pPr>
      <w:r>
        <w:rPr>
          <w:rFonts w:ascii="Calibri" w:hAnsi="Calibri"/>
          <w:sz w:val="22"/>
        </w:rPr>
        <w:t>The following areas are noted for potential future development:</w:t>
      </w:r>
    </w:p>
    <w:p>
      <w:pPr>
        <w:pStyle w:val="ListBullet"/>
        <w:spacing w:after="80" w:before="40"/>
      </w:pPr>
      <w:r>
        <w:rPr>
          <w:rFonts w:ascii="Calibri" w:hAnsi="Calibri"/>
          <w:b/>
          <w:i w:val="0"/>
          <w:sz w:val="22"/>
        </w:rPr>
        <w:t>Authentication / role enforcement</w:t>
      </w:r>
      <w:r>
        <w:rPr>
          <w:rFonts w:ascii="Calibri" w:hAnsi="Calibri"/>
          <w:b w:val="0"/>
          <w:i w:val="0"/>
          <w:sz w:val="22"/>
        </w:rPr>
        <w:t xml:space="preserve"> — currently role selection is on trust; a lightweight login or file-based role lock could be added</w:t>
      </w:r>
    </w:p>
    <w:p>
      <w:pPr>
        <w:pStyle w:val="ListBullet"/>
        <w:spacing w:after="80" w:before="40"/>
      </w:pPr>
      <w:r>
        <w:rPr>
          <w:rFonts w:ascii="Calibri" w:hAnsi="Calibri"/>
          <w:b/>
          <w:i w:val="0"/>
          <w:sz w:val="22"/>
        </w:rPr>
        <w:t>In-app digital signature</w:t>
      </w:r>
      <w:r>
        <w:rPr>
          <w:rFonts w:ascii="Calibri" w:hAnsi="Calibri"/>
          <w:b w:val="0"/>
          <w:i w:val="0"/>
          <w:sz w:val="22"/>
        </w:rPr>
        <w:t xml:space="preserve"> — currently delegated to external tooling; a signature pad widget or certificate integration could be embedded</w:t>
      </w:r>
    </w:p>
    <w:p>
      <w:pPr>
        <w:pStyle w:val="ListBullet"/>
        <w:spacing w:after="80" w:before="40"/>
      </w:pPr>
      <w:r>
        <w:rPr>
          <w:rFonts w:ascii="Calibri" w:hAnsi="Calibri"/>
          <w:b/>
          <w:i w:val="0"/>
          <w:sz w:val="22"/>
        </w:rPr>
        <w:t>Plan status tracking</w:t>
      </w:r>
      <w:r>
        <w:rPr>
          <w:rFonts w:ascii="Calibri" w:hAnsi="Calibri"/>
          <w:b w:val="0"/>
          <w:i w:val="0"/>
          <w:sz w:val="22"/>
        </w:rPr>
        <w:t xml:space="preserve"> — a status field (draft / sent / approved) could be added to the .tip schema to enable workflow state visibility</w:t>
      </w:r>
    </w:p>
    <w:p>
      <w:pPr>
        <w:pStyle w:val="ListBullet"/>
        <w:spacing w:after="80" w:before="40"/>
      </w:pPr>
      <w:r>
        <w:rPr>
          <w:rFonts w:ascii="Calibri" w:hAnsi="Calibri"/>
          <w:b/>
          <w:i w:val="0"/>
          <w:sz w:val="22"/>
        </w:rPr>
        <w:t>Network / shared drive support</w:t>
      </w:r>
      <w:r>
        <w:rPr>
          <w:rFonts w:ascii="Calibri" w:hAnsi="Calibri"/>
          <w:b w:val="0"/>
          <w:i w:val="0"/>
          <w:sz w:val="22"/>
        </w:rPr>
        <w:t xml:space="preserve"> — .tip files could be stored on a shared location with concurrent access controls</w:t>
      </w:r>
    </w:p>
    <w:p>
      <w:pPr>
        <w:pStyle w:val="ListBullet"/>
        <w:spacing w:after="80" w:before="40"/>
      </w:pPr>
      <w:r>
        <w:rPr>
          <w:rFonts w:ascii="Calibri" w:hAnsi="Calibri"/>
          <w:b/>
          <w:i w:val="0"/>
          <w:sz w:val="22"/>
        </w:rPr>
        <w:t>Database backend</w:t>
      </w:r>
      <w:r>
        <w:rPr>
          <w:rFonts w:ascii="Calibri" w:hAnsi="Calibri"/>
          <w:b w:val="0"/>
          <w:i w:val="0"/>
          <w:sz w:val="22"/>
        </w:rPr>
        <w:t xml:space="preserve"> — for larger deployments, migrating from JSON files to a database would enable search, audit trail, and reporting</w:t>
      </w:r>
    </w:p>
    <w:p>
      <w:pPr>
        <w:spacing w:before="80" w:after="80"/>
        <w:pBdr>
          <w:bottom w:val="single" w:sz="6" w:space="1" w:color="1F3864"/>
        </w:pBdr>
      </w:pPr>
    </w:p>
    <w:p>
      <w:pPr>
        <w:spacing w:before="80"/>
        <w:jc w:val="center"/>
      </w:pPr>
      <w:r>
        <w:rPr>
          <w:rFonts w:ascii="Calibri" w:hAnsi="Calibri"/>
          <w:color w:val="707070"/>
          <w:sz w:val="18"/>
        </w:rPr>
        <w:t>Rolls-Royce Digital Team  ·  Test &amp; Inspection Plan Application  ·  Rev 7  ·  29 May 2026</w:t>
      </w:r>
    </w:p>
    <w:sectPr w:rsidR="00FC693F" w:rsidRPr="0006063C" w:rsidSect="00034616">
      <w:pgSz w:w="11906" w:h="16838"/>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&amp; Inspection Plan Application — Architecture &amp; Technical Overview</dc:title>
  <dc:subject>TIP Application — Technical Documentation</dc:subject>
  <dc:creator>Rolls-Royce Digital Team</dc:creator>
  <cp:keywords>TIP, Test, Inspection, Plan, Architecture, Python</cp:keywords>
  <dc:description>generated by python-docx</dc:description>
  <cp:lastModifiedBy/>
  <cp:revision>7</cp:revision>
  <dcterms:created xsi:type="dcterms:W3CDTF">2013-12-23T23:15:00Z</dcterms:created>
  <dcterms:modified xsi:type="dcterms:W3CDTF">2013-12-23T23:15:00Z</dcterms:modified>
  <cp:category/>
</cp:coreProperties>
</file>