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  <w:spacing w:after="0"/>
        <w:ind w:firstLine="0"/>
        <w:jc w:val="center"/>
      </w:pPr>
      <w:r>
        <w:t xml:space="preserve">Banco de questões · Segundo bimestre</w:t>
      </w:r>
    </w:p>
    <w:p>
      <w:pPr>
        <w:pStyle w:val="Ttulo"/>
        <w:spacing w:after="0"/>
        <w:ind w:firstLine="0"/>
        <w:jc w:val="center"/>
      </w:pPr>
      <w:r>
        <w:t xml:space="preserve">Neuropsicologia II</w:t>
      </w:r>
    </w:p>
    <w:p>
      <w:pPr>
        <w:spacing w:before="240" w:after="60"/>
        <w:ind w:firstLine="0"/>
      </w:pPr>
      <w:r>
        <w:rPr>
          <w:b/>
          <w:bCs/>
        </w:rPr>
        <w:t xml:space="preserve">Prof.:</w:t>
      </w:r>
      <w:r>
        <w:t xml:space="preserve"> Esp. André Peres Barbieri</w:t>
      </w:r>
    </w:p>
    <w:p>
      <w:pPr>
        <w:spacing w:after="120"/>
        <w:ind w:firstLine="0"/>
      </w:pPr>
      <w:r>
        <w:t xml:space="preserve">Cinco questões por aula, da mais fácil para a mais difícil, nos formatos da prova: assinale a correta, assinale a incorreta, verdadeiro ou falso, afirmativas I–IV, relacione as colunas e asserção-razão. O gabarito está na última página e traz só a letra: se errar, volte à aula para encontrar o motivo.</w:t>
      </w:r>
    </w:p>
    <w:p>
      <w:pPr>
        <w:pStyle w:val="Ttulo1"/>
        <w:keepNext/>
        <w:rPr>
          <w:sz w:val="22"/>
        </w:rPr>
      </w:pPr>
      <w:r>
        <w:rPr>
          <w:sz w:val="22"/>
        </w:rPr>
        <w:t xml:space="preserve">Aula 11 — Transtornos neurocognitivos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</w:t>
      </w:r>
    </w:p>
    <w:p>
      <w:pPr>
        <w:spacing w:after="120"/>
        <w:ind w:firstLine="0"/>
      </w:pPr>
      <w:r>
        <w:rPr>
          <w:b/>
          <w:bCs/>
        </w:rPr>
        <w:t xml:space="preserve">No DSM-5, o que diferencia o TNC maior do TNC leve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o escore no MEEM.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a idade de início.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a etiologia.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a interferência dos déficits na independência para as atividades cotidianas.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o resultado da neuroimagem.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</w:t>
      </w:r>
    </w:p>
    <w:p>
      <w:pPr>
        <w:spacing w:after="120"/>
        <w:ind w:firstLine="0"/>
      </w:pPr>
      <w:r>
        <w:t xml:space="preserve">Sobre o delirium, julgue as afirmativas em verdadeiras (V) ou falsas (F).</w:t>
      </w:r>
    </w:p>
    <w:p>
      <w:pPr>
        <w:spacing w:after="80"/>
        <w:ind w:left="340" w:hanging="340"/>
      </w:pPr>
      <w:r>
        <w:t xml:space="preserve">(   ) Instala-se em horas a dias.</w:t>
      </w:r>
    </w:p>
    <w:p>
      <w:pPr>
        <w:spacing w:after="80"/>
        <w:ind w:left="340" w:hanging="340"/>
      </w:pPr>
      <w:r>
        <w:t xml:space="preserve">(   ) A gravidade oscila ao longo do mesmo dia.</w:t>
      </w:r>
    </w:p>
    <w:p>
      <w:pPr>
        <w:spacing w:after="80"/>
        <w:ind w:left="340" w:hanging="340"/>
      </w:pPr>
      <w:r>
        <w:t xml:space="preserve">(   ) A alteração central é da atenção e da consciência.</w:t>
      </w:r>
    </w:p>
    <w:p>
      <w:pPr>
        <w:spacing w:after="80"/>
        <w:ind w:left="340" w:hanging="340"/>
      </w:pPr>
      <w:r>
        <w:t xml:space="preserve">(   ) É a forma inicial típica da doença de Alzheimer.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V – V – V – F.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V – F – V – F.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F – V – V – 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V – V – F – V.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F – F – V – F.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3</w:t>
      </w:r>
    </w:p>
    <w:p>
      <w:pPr>
        <w:spacing w:after="120"/>
        <w:ind w:firstLine="0"/>
      </w:pPr>
      <w:r>
        <w:t xml:space="preserve">Cada etiologia de TNC tem uma lesão característica.</w:t>
      </w:r>
    </w:p>
    <w:p>
      <w:pPr>
        <w:spacing w:after="120"/>
        <w:ind w:firstLine="0"/>
      </w:pPr>
      <w:r>
        <w:rPr>
          <w:b/>
          <w:bCs/>
        </w:rPr>
        <w:t xml:space="preserve">Relacione a etiologia à alteração do tecido.</w:t>
      </w:r>
    </w:p>
    <w:p>
      <w:pPr>
        <w:spacing w:after="80"/>
        <w:ind w:left="340" w:hanging="340"/>
      </w:pPr>
      <w:r>
        <w:t xml:space="preserve">1. Doença de Alzheimer</w:t>
      </w:r>
    </w:p>
    <w:p>
      <w:pPr>
        <w:spacing w:after="80"/>
        <w:ind w:left="340" w:hanging="340"/>
      </w:pPr>
      <w:r>
        <w:t xml:space="preserve">2. Corpos de Lewy</w:t>
      </w:r>
    </w:p>
    <w:p>
      <w:pPr>
        <w:spacing w:after="80"/>
        <w:ind w:left="340" w:hanging="340"/>
      </w:pPr>
      <w:r>
        <w:t xml:space="preserve">3. Doença vascular de pequenos vasos</w:t>
      </w:r>
    </w:p>
    <w:p>
      <w:pPr>
        <w:spacing w:after="0"/>
        <w:ind w:firstLine="0"/>
      </w:pPr>
    </w:p>
    <w:p>
      <w:pPr>
        <w:spacing w:after="80"/>
        <w:ind w:left="340" w:hanging="340"/>
      </w:pPr>
      <w:r>
        <w:t xml:space="preserve">(   ) Agregados de alfa-sinucleína dentro do neurônio.</w:t>
      </w:r>
    </w:p>
    <w:p>
      <w:pPr>
        <w:spacing w:after="80"/>
        <w:ind w:left="340" w:hanging="340"/>
      </w:pPr>
      <w:r>
        <w:t xml:space="preserve">(   ) Lacunas e alteração confluente da substância branca.</w:t>
      </w:r>
    </w:p>
    <w:p>
      <w:pPr>
        <w:spacing w:after="80"/>
        <w:ind w:left="340" w:hanging="340"/>
      </w:pPr>
      <w:r>
        <w:t xml:space="preserve">(   ) Placas de beta-amiloide e emaranhados de tau.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1 – 2 – 3.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2 – 1 – 3.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3 – 2 – 1.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1 – 3 – 2.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2 – 3 – 1.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4</w:t>
      </w:r>
    </w:p>
    <w:p>
      <w:pPr>
        <w:spacing w:after="120"/>
        <w:ind w:firstLine="0"/>
      </w:pPr>
      <w:r>
        <w:rPr>
          <w:b/>
          <w:bCs/>
        </w:rPr>
        <w:t xml:space="preserve">Sobre o rastreio cognitivo, assinale a alternativa INCORRETA.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O MEEM tem pontos de corte que variam com a escolaridade.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Um escore normal no MEEM exclui TNC leve em pessoa de alta escolaridade.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A MoCA é mais sensível que o MEEM ao comprometimento executivo.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Nenhum rastreio define a etiologia do quadro.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O critério de funcionalidade depende de entrevista com informante.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5</w:t>
      </w:r>
    </w:p>
    <w:p>
      <w:pPr>
        <w:spacing w:after="120"/>
        <w:ind w:firstLine="0"/>
      </w:pPr>
      <w:r>
        <w:t xml:space="preserve">Sr. Wilson, 73 anos, mestrado, fez 27 pontos no MEEM (corte para sua faixa: 29). Perdeu pontos só na evocação. Anota tudo e confere a agenda duas vezes, mas dirige e administra o dinheiro sem erros.</w:t>
      </w:r>
    </w:p>
    <w:p>
      <w:pPr>
        <w:spacing w:after="120"/>
        <w:ind w:firstLine="0"/>
      </w:pPr>
      <w:r>
        <w:rPr>
          <w:b/>
          <w:bCs/>
        </w:rPr>
        <w:t xml:space="preserve">Avalie as afirmativas.</w:t>
      </w:r>
    </w:p>
    <w:p>
      <w:pPr>
        <w:spacing w:after="80"/>
        <w:ind w:left="340" w:hanging="340"/>
      </w:pPr>
      <w:r>
        <w:t xml:space="preserve">I. O desempenho está abaixo do corte da sua faixa de escolaridade.</w:t>
      </w:r>
    </w:p>
    <w:p>
      <w:pPr>
        <w:spacing w:after="80"/>
        <w:ind w:left="340" w:hanging="340"/>
      </w:pPr>
      <w:r>
        <w:t xml:space="preserve">II. A funcionalidade preservada com esforço é compatível com TNC leve.</w:t>
      </w:r>
    </w:p>
    <w:p>
      <w:pPr>
        <w:spacing w:after="80"/>
        <w:ind w:left="340" w:hanging="340"/>
      </w:pPr>
      <w:r>
        <w:t xml:space="preserve">III. O perfil amnéstico permite cravar doença de Alzheimer como etiologia.</w:t>
      </w:r>
    </w:p>
    <w:p>
      <w:pPr>
        <w:spacing w:after="80"/>
        <w:ind w:left="340" w:hanging="340"/>
      </w:pPr>
      <w:r>
        <w:t xml:space="preserve">IV. A conclusão deve dizer o que falta investigar para a hipótese etiológica.</w:t>
      </w:r>
    </w:p>
    <w:p>
      <w:pPr>
        <w:spacing w:after="120"/>
        <w:ind w:firstLine="0"/>
      </w:pPr>
      <w:r>
        <w:rPr>
          <w:b/>
          <w:bCs/>
        </w:rPr>
        <w:t xml:space="preserve">É correto apenas o que se afirma em: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I e III.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II e III.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I, II e IV.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I, III e IV.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II, III e IV.</w:t>
      </w:r>
    </w:p>
    <w:p>
      <w:pPr>
        <w:spacing w:after="0"/>
        <w:ind w:firstLine="0"/>
      </w:pPr>
    </w:p>
    <w:p>
      <w:pPr>
        <w:pStyle w:val="Ttulo1"/>
        <w:keepNext/>
        <w:rPr>
          <w:sz w:val="22"/>
        </w:rPr>
      </w:pPr>
      <w:r>
        <w:br w:type="page"/>
      </w:r>
      <w:r>
        <w:rPr>
          <w:sz w:val="22"/>
        </w:rPr>
        <w:t xml:space="preserve">Aula 12 — Epilepsia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6</w:t>
      </w:r>
    </w:p>
    <w:p>
      <w:pPr>
        <w:spacing w:after="120"/>
        <w:ind w:firstLine="0"/>
      </w:pPr>
      <w:r>
        <w:rPr>
          <w:b/>
          <w:bCs/>
        </w:rPr>
        <w:t xml:space="preserve">A epilepsia focal mais comum no adulto, frequentemente associada à esclerose hipocampal, é a epilepsia do lobo: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frontal.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occipital.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temporal mesial.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parietal.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insular.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7</w:t>
      </w:r>
    </w:p>
    <w:p>
      <w:pPr>
        <w:spacing w:after="120"/>
        <w:ind w:firstLine="0"/>
      </w:pPr>
      <w:r>
        <w:t xml:space="preserve">Sobre crise e epilepsia, julgue as afirmativas em verdadeiras (V) ou falsas (F).</w:t>
      </w:r>
    </w:p>
    <w:p>
      <w:pPr>
        <w:spacing w:after="80"/>
        <w:ind w:left="340" w:hanging="340"/>
      </w:pPr>
      <w:r>
        <w:t xml:space="preserve">(   ) Uma crise provocada por hipoglicemia, isolada, define epilepsia.</w:t>
      </w:r>
    </w:p>
    <w:p>
      <w:pPr>
        <w:spacing w:after="80"/>
        <w:ind w:left="340" w:hanging="340"/>
      </w:pPr>
      <w:r>
        <w:t xml:space="preserve">(   ) Epilepsia é uma predisposição duradoura a gerar crises.</w:t>
      </w:r>
    </w:p>
    <w:p>
      <w:pPr>
        <w:spacing w:after="80"/>
        <w:ind w:left="340" w:hanging="340"/>
      </w:pPr>
      <w:r>
        <w:t xml:space="preserve">(   ) A crise focal pode evoluir para bilateral.</w:t>
      </w:r>
    </w:p>
    <w:p>
      <w:pPr>
        <w:spacing w:after="80"/>
        <w:ind w:left="340" w:hanging="340"/>
      </w:pPr>
      <w:r>
        <w:t xml:space="preserve">(   ) Crises não epilépticas psicogênicas são diagnosticadas com vídeo-EEG.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V – V – F – F.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F – V – V – V.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F – F – V – 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V – F – V – F.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V – V – V – F.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8</w:t>
      </w:r>
    </w:p>
    <w:p>
      <w:pPr>
        <w:spacing w:after="120"/>
        <w:ind w:firstLine="0"/>
      </w:pPr>
      <w:r>
        <w:t xml:space="preserve">Na epilepsia, várias fontes podem rebaixar o desempenho cognitivo.</w:t>
      </w:r>
    </w:p>
    <w:p>
      <w:pPr>
        <w:spacing w:after="120"/>
        <w:ind w:firstLine="0"/>
      </w:pPr>
      <w:r>
        <w:rPr>
          <w:b/>
          <w:bCs/>
        </w:rPr>
        <w:t xml:space="preserve">Relacione cada fonte ao exemplo.</w:t>
      </w:r>
    </w:p>
    <w:p>
      <w:pPr>
        <w:spacing w:after="80"/>
        <w:ind w:left="340" w:hanging="340"/>
      </w:pPr>
      <w:r>
        <w:t xml:space="preserve">1. A lesão</w:t>
      </w:r>
    </w:p>
    <w:p>
      <w:pPr>
        <w:spacing w:after="80"/>
        <w:ind w:left="340" w:hanging="340"/>
      </w:pPr>
      <w:r>
        <w:t xml:space="preserve">2. As crises</w:t>
      </w:r>
    </w:p>
    <w:p>
      <w:pPr>
        <w:spacing w:after="80"/>
        <w:ind w:left="340" w:hanging="340"/>
      </w:pPr>
      <w:r>
        <w:t xml:space="preserve">3. O remédio</w:t>
      </w:r>
    </w:p>
    <w:p>
      <w:pPr>
        <w:spacing w:after="80"/>
        <w:ind w:left="340" w:hanging="340"/>
      </w:pPr>
      <w:r>
        <w:t xml:space="preserve">4. O humor</w:t>
      </w:r>
    </w:p>
    <w:p>
      <w:pPr>
        <w:spacing w:after="0"/>
        <w:ind w:firstLine="0"/>
      </w:pPr>
    </w:p>
    <w:p>
      <w:pPr>
        <w:spacing w:after="80"/>
        <w:ind w:left="340" w:hanging="340"/>
      </w:pPr>
      <w:r>
        <w:t xml:space="preserve">(   ) Esclerose hipocampal na ressonância.</w:t>
      </w:r>
    </w:p>
    <w:p>
      <w:pPr>
        <w:spacing w:after="80"/>
        <w:ind w:left="340" w:hanging="340"/>
      </w:pPr>
      <w:r>
        <w:t xml:space="preserve">(   ) Avaliação feita no dia seguinte a uma crise.</w:t>
      </w:r>
    </w:p>
    <w:p>
      <w:pPr>
        <w:spacing w:after="80"/>
        <w:ind w:left="340" w:hanging="340"/>
      </w:pPr>
      <w:r>
        <w:t xml:space="preserve">(   ) Topiramato com queixa de dificuldade para achar palavras.</w:t>
      </w:r>
    </w:p>
    <w:p>
      <w:pPr>
        <w:spacing w:after="80"/>
        <w:ind w:left="340" w:hanging="340"/>
      </w:pPr>
      <w:r>
        <w:t xml:space="preserve">(   ) Sintomas depressivos não tratados.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1 – 2 – 3 – 4.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2 – 1 – 3 – 4.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1 – 3 – 2 – 4.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4 – 2 – 3 – 1.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1 – 2 – 4 – 3.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9</w:t>
      </w:r>
    </w:p>
    <w:p>
      <w:pPr>
        <w:spacing w:after="120"/>
        <w:ind w:firstLine="0"/>
      </w:pPr>
      <w:r>
        <w:t xml:space="preserve">Sobre a avaliação pré-cirúrgica na epilepsia do lobo temporal, avalie as afirmativas.</w:t>
      </w:r>
    </w:p>
    <w:p>
      <w:pPr>
        <w:spacing w:after="80"/>
        <w:ind w:left="340" w:hanging="340"/>
      </w:pPr>
      <w:r>
        <w:t xml:space="preserve">I. Verifica se o perfil cognitivo é concordante com o lado do foco.</w:t>
      </w:r>
    </w:p>
    <w:p>
      <w:pPr>
        <w:spacing w:after="80"/>
        <w:ind w:left="340" w:hanging="340"/>
      </w:pPr>
      <w:r>
        <w:t xml:space="preserve">II. Ajuda a estimar o risco de declínio de memória e de nomeação após a cirurgia.</w:t>
      </w:r>
    </w:p>
    <w:p>
      <w:pPr>
        <w:spacing w:after="80"/>
        <w:ind w:left="340" w:hanging="340"/>
      </w:pPr>
      <w:r>
        <w:t xml:space="preserve">III. O teste de Wada e a ressonância funcional ajudam a localizar a linguagem.</w:t>
      </w:r>
    </w:p>
    <w:p>
      <w:pPr>
        <w:spacing w:after="80"/>
        <w:ind w:left="340" w:hanging="340"/>
      </w:pPr>
      <w:r>
        <w:t xml:space="preserve">IV. O risco de declínio é maior quando a memória já está muito rebaixada antes da cirurgia.</w:t>
      </w:r>
    </w:p>
    <w:p>
      <w:pPr>
        <w:spacing w:after="120"/>
        <w:ind w:firstLine="0"/>
      </w:pPr>
      <w:r>
        <w:rPr>
          <w:b/>
          <w:bCs/>
        </w:rPr>
        <w:t xml:space="preserve">É correto apenas o que se afirma em: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I e IV.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II e IV.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III e IV.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I, II e III.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I, II, III e IV.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10</w:t>
      </w:r>
    </w:p>
    <w:p>
      <w:pPr>
        <w:spacing w:after="120"/>
        <w:ind w:firstLine="0"/>
      </w:pPr>
      <w:r>
        <w:t xml:space="preserve">Um homem destro com epilepsia do lobo temporal esquerdo tem memória verbal rebaixada e memória visual preservada.</w:t>
      </w:r>
    </w:p>
    <w:p>
      <w:pPr>
        <w:spacing w:after="120"/>
        <w:ind w:firstLine="0"/>
      </w:pPr>
      <w:r>
        <w:rPr>
          <w:b/>
          <w:bCs/>
        </w:rPr>
        <w:t xml:space="preserve">Avalie as asserções a seguir e a relação proposta entre elas.</w:t>
      </w:r>
    </w:p>
    <w:p>
      <w:pPr>
        <w:spacing w:after="80"/>
        <w:ind w:left="340" w:hanging="340"/>
      </w:pPr>
      <w:r>
        <w:t xml:space="preserve">I. Em destros, a epilepsia do lobo temporal mesial esquerdo costuma comprometer a memória verbal mais que a visual.</w:t>
      </w:r>
    </w:p>
    <w:p>
      <w:pPr>
        <w:spacing w:after="80"/>
        <w:ind w:firstLine="0"/>
        <w:jc w:val="center"/>
      </w:pPr>
      <w:r>
        <w:rPr>
          <w:b/>
          <w:bCs/>
        </w:rPr>
        <w:t xml:space="preserve">PORQUE</w:t>
      </w:r>
    </w:p>
    <w:p>
      <w:pPr>
        <w:spacing w:after="80"/>
        <w:ind w:left="340" w:hanging="340"/>
      </w:pPr>
      <w:r>
        <w:t xml:space="preserve">II. O hipocampo esquerdo participa sobretudo da memória de material verbal nas pessoas com linguagem lateralizada à esquerda.</w:t>
      </w:r>
    </w:p>
    <w:p>
      <w:pPr>
        <w:spacing w:after="120"/>
        <w:ind w:firstLine="0"/>
      </w:pPr>
      <w:r>
        <w:rPr>
          <w:b/>
          <w:bCs/>
        </w:rPr>
        <w:t xml:space="preserve">A respeito dessas asserções, assinale a opção correta.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As asserções I e II são proposições verdadeiras, e a II é uma justificativa correta da I.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As asserções I e II são proposições verdadeiras, mas a II não é uma justificativa correta da I.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A asserção I é uma proposição verdadeira, e a II é uma proposição falsa.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A asserção I é uma proposição falsa, e a II é uma proposição verdadeira.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As asserções I e II são proposições falsas.</w:t>
      </w:r>
    </w:p>
    <w:p>
      <w:pPr>
        <w:spacing w:after="0"/>
        <w:ind w:firstLine="0"/>
      </w:pPr>
    </w:p>
    <w:p>
      <w:pPr>
        <w:pStyle w:val="Ttulo1"/>
        <w:keepNext/>
        <w:rPr>
          <w:sz w:val="22"/>
        </w:rPr>
      </w:pPr>
      <w:r>
        <w:br w:type="page"/>
      </w:r>
      <w:r>
        <w:rPr>
          <w:sz w:val="22"/>
        </w:rPr>
        <w:t xml:space="preserve">Aula 13 — Esclerose múltipla e ELA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11</w:t>
      </w:r>
    </w:p>
    <w:p>
      <w:pPr>
        <w:spacing w:after="120"/>
        <w:ind w:firstLine="0"/>
      </w:pPr>
      <w:r>
        <w:rPr>
          <w:b/>
          <w:bCs/>
        </w:rPr>
        <w:t xml:space="preserve">O domínio cognitivo mais frequentemente afetado na esclerose múltipla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a linguagem.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a velocidade de processamento.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a memória semântica.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a praxia.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a percepção visual de objetos.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12</w:t>
      </w:r>
    </w:p>
    <w:p>
      <w:pPr>
        <w:spacing w:after="120"/>
        <w:ind w:firstLine="0"/>
      </w:pPr>
      <w:r>
        <w:t xml:space="preserve">A esclerose múltipla tem fenótipos clínicos diferentes.</w:t>
      </w:r>
    </w:p>
    <w:p>
      <w:pPr>
        <w:spacing w:after="120"/>
        <w:ind w:firstLine="0"/>
      </w:pPr>
      <w:r>
        <w:rPr>
          <w:b/>
          <w:bCs/>
        </w:rPr>
        <w:t xml:space="preserve">Relacione o fenótipo à descrição.</w:t>
      </w:r>
    </w:p>
    <w:p>
      <w:pPr>
        <w:spacing w:after="80"/>
        <w:ind w:left="340" w:hanging="340"/>
      </w:pPr>
      <w:r>
        <w:t xml:space="preserve">1. Remitente-recorrente</w:t>
      </w:r>
    </w:p>
    <w:p>
      <w:pPr>
        <w:spacing w:after="80"/>
        <w:ind w:left="340" w:hanging="340"/>
      </w:pPr>
      <w:r>
        <w:t xml:space="preserve">2. Secundariamente progressiva</w:t>
      </w:r>
    </w:p>
    <w:p>
      <w:pPr>
        <w:spacing w:after="80"/>
        <w:ind w:left="340" w:hanging="340"/>
      </w:pPr>
      <w:r>
        <w:t xml:space="preserve">3. Primariamente progressiva</w:t>
      </w:r>
    </w:p>
    <w:p>
      <w:pPr>
        <w:spacing w:after="0"/>
        <w:ind w:firstLine="0"/>
      </w:pPr>
    </w:p>
    <w:p>
      <w:pPr>
        <w:spacing w:after="80"/>
        <w:ind w:left="340" w:hanging="340"/>
      </w:pPr>
      <w:r>
        <w:t xml:space="preserve">(   ) Piora contínua desde o início da doença.</w:t>
      </w:r>
    </w:p>
    <w:p>
      <w:pPr>
        <w:spacing w:after="80"/>
        <w:ind w:left="340" w:hanging="340"/>
      </w:pPr>
      <w:r>
        <w:t xml:space="preserve">(   ) Surtos seguidos de recuperação.</w:t>
      </w:r>
    </w:p>
    <w:p>
      <w:pPr>
        <w:spacing w:after="80"/>
        <w:ind w:left="340" w:hanging="340"/>
      </w:pPr>
      <w:r>
        <w:t xml:space="preserve">(   ) Piora contínua que surge depois de uma fase de surtos.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1 – 2 – 3.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2 – 1 – 3.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3 – 2 – 1.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3 – 1 – 2.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2 – 3 – 1.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13</w:t>
      </w:r>
    </w:p>
    <w:p>
      <w:pPr>
        <w:spacing w:after="120"/>
        <w:ind w:firstLine="0"/>
      </w:pPr>
      <w:r>
        <w:t xml:space="preserve">Sobre a ELA, julgue as afirmativas em verdadeiras (V) ou falsas (F).</w:t>
      </w:r>
    </w:p>
    <w:p>
      <w:pPr>
        <w:spacing w:after="80"/>
        <w:ind w:left="340" w:hanging="340"/>
      </w:pPr>
      <w:r>
        <w:t xml:space="preserve">(   ) É doença neurodegenerativa dos neurônios motores.</w:t>
      </w:r>
    </w:p>
    <w:p>
      <w:pPr>
        <w:spacing w:after="80"/>
        <w:ind w:left="340" w:hanging="340"/>
      </w:pPr>
      <w:r>
        <w:t xml:space="preserve">(   ) Parte das pessoas com ELA apresenta alterações cognitivas ou comportamentais.</w:t>
      </w:r>
    </w:p>
    <w:p>
      <w:pPr>
        <w:spacing w:after="80"/>
        <w:ind w:left="340" w:hanging="340"/>
      </w:pPr>
      <w:r>
        <w:t xml:space="preserve">(   ) Parte das pessoas preenche critérios de demência frontotemporal.</w:t>
      </w:r>
    </w:p>
    <w:p>
      <w:pPr>
        <w:spacing w:after="80"/>
        <w:ind w:left="340" w:hanging="340"/>
      </w:pPr>
      <w:r>
        <w:t xml:space="preserve">(   ) A memória episódica é o domínio mais afetado e o primeiro a cair.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V – F – V – F.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F – V – V – V.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V – V – F – 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F – F – V – F.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V – V – V – F.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14</w:t>
      </w:r>
    </w:p>
    <w:p>
      <w:pPr>
        <w:spacing w:after="120"/>
        <w:ind w:firstLine="0"/>
      </w:pPr>
      <w:r>
        <w:rPr>
          <w:b/>
          <w:bCs/>
        </w:rPr>
        <w:t xml:space="preserve">Sobre a avaliação na esclerose múltipla, assinale a alternativa INCORRETA.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O BICAMS reúne SDMT, um teste de memória verbal e um de memória visuoespacial.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O SDMT oral contorna dificuldades motoras da mão.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A fadiga não interfere no desempenho e não precisa ser registrada.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Sintomas depressivos devem ser investigados, com cuidado nos itens somáticos das escalas.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Problemas visuais, como visão dupla, podem exigir adaptação dos testes.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15</w:t>
      </w:r>
    </w:p>
    <w:p>
      <w:pPr>
        <w:spacing w:after="120"/>
        <w:ind w:firstLine="0"/>
      </w:pPr>
      <w:r>
        <w:t xml:space="preserve">Um homem de 58 anos com ELA de início bulbar produz poucas palavras na fluência oral. A esposa diz que ele perdeu o interesse por tudo, mas não parece triste.</w:t>
      </w:r>
    </w:p>
    <w:p>
      <w:pPr>
        <w:spacing w:after="120"/>
        <w:ind w:firstLine="0"/>
      </w:pPr>
      <w:r>
        <w:rPr>
          <w:b/>
          <w:bCs/>
        </w:rPr>
        <w:t xml:space="preserve">Avalie as afirmativas.</w:t>
      </w:r>
    </w:p>
    <w:p>
      <w:pPr>
        <w:spacing w:after="80"/>
        <w:ind w:left="340" w:hanging="340"/>
      </w:pPr>
      <w:r>
        <w:t xml:space="preserve">I. A fluência deve ser refeita por escrito ou corrigida pelo tempo motor.</w:t>
      </w:r>
    </w:p>
    <w:p>
      <w:pPr>
        <w:spacing w:after="80"/>
        <w:ind w:left="340" w:hanging="340"/>
      </w:pPr>
      <w:r>
        <w:t xml:space="preserve">II. A perda de interesse sem tristeza sugere apatia, frequente na ELA.</w:t>
      </w:r>
    </w:p>
    <w:p>
      <w:pPr>
        <w:spacing w:after="80"/>
        <w:ind w:left="340" w:hanging="340"/>
      </w:pPr>
      <w:r>
        <w:t xml:space="preserve">III. A fluência baixa basta para concluir disfunção executiva.</w:t>
      </w:r>
    </w:p>
    <w:p>
      <w:pPr>
        <w:spacing w:after="80"/>
        <w:ind w:left="340" w:hanging="340"/>
      </w:pPr>
      <w:r>
        <w:t xml:space="preserve">IV. Por haver alteração da fala, a avaliação cognitiva está contraindicada.</w:t>
      </w:r>
    </w:p>
    <w:p>
      <w:pPr>
        <w:spacing w:after="120"/>
        <w:ind w:firstLine="0"/>
      </w:pPr>
      <w:r>
        <w:rPr>
          <w:b/>
          <w:bCs/>
        </w:rPr>
        <w:t xml:space="preserve">É correto apenas o que se afirma em: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I e II.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I e III.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II e IV.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I, II e III.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II, III e IV.</w:t>
      </w:r>
    </w:p>
    <w:p>
      <w:pPr>
        <w:spacing w:after="0"/>
        <w:ind w:firstLine="0"/>
      </w:pPr>
    </w:p>
    <w:p>
      <w:pPr>
        <w:pStyle w:val="Ttulo1"/>
        <w:keepNext/>
        <w:rPr>
          <w:sz w:val="22"/>
        </w:rPr>
      </w:pPr>
      <w:r>
        <w:br w:type="page"/>
      </w:r>
      <w:r>
        <w:rPr>
          <w:sz w:val="22"/>
        </w:rPr>
        <w:t xml:space="preserve">Aula 14 — Reabilitação: fundamentos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16</w:t>
      </w:r>
    </w:p>
    <w:p>
      <w:pPr>
        <w:spacing w:after="120"/>
        <w:ind w:firstLine="0"/>
      </w:pPr>
      <w:r>
        <w:rPr>
          <w:b/>
          <w:bCs/>
        </w:rPr>
        <w:t xml:space="preserve">A meta da reabilitação neuropsicológica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normalizar os escores dos testes.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restaurar todas as funções perdidas.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substituir o tratamento médico.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treinar a memória com exercícios genéricos.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alcançar o melhor funcionamento possível na vida diária.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17</w:t>
      </w:r>
    </w:p>
    <w:p>
      <w:pPr>
        <w:spacing w:after="120"/>
        <w:ind w:firstLine="0"/>
      </w:pPr>
      <w:r>
        <w:t xml:space="preserve">A reabilitação usa três caminhos.</w:t>
      </w:r>
    </w:p>
    <w:p>
      <w:pPr>
        <w:spacing w:after="120"/>
        <w:ind w:firstLine="0"/>
      </w:pPr>
      <w:r>
        <w:rPr>
          <w:b/>
          <w:bCs/>
        </w:rPr>
        <w:t xml:space="preserve">Relacione a estratégia ao exemplo.</w:t>
      </w:r>
    </w:p>
    <w:p>
      <w:pPr>
        <w:spacing w:after="80"/>
        <w:ind w:left="340" w:hanging="340"/>
      </w:pPr>
      <w:r>
        <w:t xml:space="preserve">1. Restaurar</w:t>
      </w:r>
    </w:p>
    <w:p>
      <w:pPr>
        <w:spacing w:after="80"/>
        <w:ind w:left="340" w:hanging="340"/>
      </w:pPr>
      <w:r>
        <w:t xml:space="preserve">2. Compensar</w:t>
      </w:r>
    </w:p>
    <w:p>
      <w:pPr>
        <w:spacing w:after="80"/>
        <w:ind w:left="340" w:hanging="340"/>
      </w:pPr>
      <w:r>
        <w:t xml:space="preserve">3. Adaptar o ambiente</w:t>
      </w:r>
    </w:p>
    <w:p>
      <w:pPr>
        <w:spacing w:after="0"/>
        <w:ind w:firstLine="0"/>
      </w:pPr>
    </w:p>
    <w:p>
      <w:pPr>
        <w:spacing w:after="80"/>
        <w:ind w:left="340" w:hanging="340"/>
      </w:pPr>
      <w:r>
        <w:t xml:space="preserve">(   ) Rótulos nas gavetas e objetos sempre no mesmo lugar.</w:t>
      </w:r>
    </w:p>
    <w:p>
      <w:pPr>
        <w:spacing w:after="80"/>
        <w:ind w:left="340" w:hanging="340"/>
      </w:pPr>
      <w:r>
        <w:t xml:space="preserve">(   ) Treino de atenção em níveis crescentes de dificuldade.</w:t>
      </w:r>
    </w:p>
    <w:p>
      <w:pPr>
        <w:spacing w:after="80"/>
        <w:ind w:left="340" w:hanging="340"/>
      </w:pPr>
      <w:r>
        <w:t xml:space="preserve">(   ) Uso treinado de agenda com alarme.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1 – 2 – 3.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2 – 1 – 3.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3 – 1 – 2.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1 – 3 – 2.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3 – 2 – 1.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18</w:t>
      </w:r>
    </w:p>
    <w:p>
      <w:pPr>
        <w:spacing w:after="120"/>
        <w:ind w:firstLine="0"/>
      </w:pPr>
      <w:r>
        <w:t xml:space="preserve">Sobre a CIF, julgue as afirmativas em verdadeiras (V) ou falsas (F).</w:t>
      </w:r>
    </w:p>
    <w:p>
      <w:pPr>
        <w:spacing w:after="80"/>
        <w:ind w:left="340" w:hanging="340"/>
      </w:pPr>
      <w:r>
        <w:t xml:space="preserve">(   ) Memória rebaixada no teste é um dado do nível de funções.</w:t>
      </w:r>
    </w:p>
    <w:p>
      <w:pPr>
        <w:spacing w:after="80"/>
        <w:ind w:left="340" w:hanging="340"/>
      </w:pPr>
      <w:r>
        <w:t xml:space="preserve">(   ) Esquecer de tomar o remédio é um dado do nível de atividade.</w:t>
      </w:r>
    </w:p>
    <w:p>
      <w:pPr>
        <w:spacing w:after="80"/>
        <w:ind w:left="340" w:hanging="340"/>
      </w:pPr>
      <w:r>
        <w:t xml:space="preserve">(   ) Deixar de frequentar o coral é um dado do nível de participação.</w:t>
      </w:r>
    </w:p>
    <w:p>
      <w:pPr>
        <w:spacing w:after="80"/>
        <w:ind w:left="340" w:hanging="340"/>
      </w:pPr>
      <w:r>
        <w:t xml:space="preserve">(   ) Os fatores ambientais não influenciam a participação.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V – V – V – F.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V – F – V – F.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F – V – V – 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V – V – F – V.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F – F – V – F.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19</w:t>
      </w:r>
    </w:p>
    <w:p>
      <w:pPr>
        <w:spacing w:after="120"/>
        <w:ind w:firstLine="0"/>
      </w:pPr>
      <w:r>
        <w:rPr>
          <w:b/>
          <w:bCs/>
        </w:rPr>
        <w:t xml:space="preserve">Sobre neuroplasticidade e recuperação, assinale a alternativa INCORRETA.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A plasticidade depende de prática, intensidade e relevância da tarefa.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A recuperação espontânea é maior nos primeiros meses após a lesão.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A plasticidade pode ser mal-adaptativa, como no não uso aprendido do membro parético.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Nas doenças progressivas, a meta principal é restaurar a função perdida.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A recuperação comportamental, com novas estratégias, pode continuar por toda a vida.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20</w:t>
      </w:r>
    </w:p>
    <w:p>
      <w:pPr>
        <w:spacing w:after="120"/>
        <w:ind w:firstLine="0"/>
      </w:pPr>
      <w:r>
        <w:t xml:space="preserve">Uma equipe escreveu como meta de reabilitação: "melhorar a memória do paciente".</w:t>
      </w:r>
    </w:p>
    <w:p>
      <w:pPr>
        <w:spacing w:after="120"/>
        <w:ind w:firstLine="0"/>
      </w:pPr>
      <w:r>
        <w:rPr>
          <w:b/>
          <w:bCs/>
        </w:rPr>
        <w:t xml:space="preserve">Avalie as asserções a seguir e a relação proposta entre elas.</w:t>
      </w:r>
    </w:p>
    <w:p>
      <w:pPr>
        <w:spacing w:after="80"/>
        <w:ind w:left="340" w:hanging="340"/>
      </w:pPr>
      <w:r>
        <w:t xml:space="preserve">I. A meta não é SMART.</w:t>
      </w:r>
    </w:p>
    <w:p>
      <w:pPr>
        <w:spacing w:after="80"/>
        <w:ind w:firstLine="0"/>
        <w:jc w:val="center"/>
      </w:pPr>
      <w:r>
        <w:rPr>
          <w:b/>
          <w:bCs/>
        </w:rPr>
        <w:t xml:space="preserve">PORQUE</w:t>
      </w:r>
    </w:p>
    <w:p>
      <w:pPr>
        <w:spacing w:after="80"/>
        <w:ind w:left="340" w:hanging="340"/>
      </w:pPr>
      <w:r>
        <w:t xml:space="preserve">II. Uma meta SMART deve ser definida pelo escore que o paciente precisa atingir no teste de memória.</w:t>
      </w:r>
    </w:p>
    <w:p>
      <w:pPr>
        <w:spacing w:after="120"/>
        <w:ind w:firstLine="0"/>
      </w:pPr>
      <w:r>
        <w:rPr>
          <w:b/>
          <w:bCs/>
        </w:rPr>
        <w:t xml:space="preserve">A respeito dessas asserções, assinale a opção correta.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As asserções I e II são proposições verdadeiras, e a II é uma justificativa correta da I.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As asserções I e II são proposições verdadeiras, mas a II não é uma justificativa correta da I.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A asserção I é uma proposição verdadeira, e a II é uma proposição falsa.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A asserção I é uma proposição falsa, e a II é uma proposição verdadeira.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As asserções I e II são proposições falsas.</w:t>
      </w:r>
    </w:p>
    <w:p>
      <w:pPr>
        <w:spacing w:after="0"/>
        <w:ind w:firstLine="0"/>
      </w:pPr>
    </w:p>
    <w:p>
      <w:pPr>
        <w:pStyle w:val="Ttulo1"/>
        <w:keepNext/>
        <w:rPr>
          <w:sz w:val="22"/>
        </w:rPr>
      </w:pPr>
      <w:r>
        <w:br w:type="page"/>
      </w:r>
      <w:r>
        <w:rPr>
          <w:sz w:val="22"/>
        </w:rPr>
        <w:t xml:space="preserve">Aula 15 — Reabilitação: técnicas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21</w:t>
      </w:r>
    </w:p>
    <w:p>
      <w:pPr>
        <w:spacing w:after="120"/>
        <w:ind w:firstLine="0"/>
      </w:pPr>
      <w:r>
        <w:rPr>
          <w:b/>
          <w:bCs/>
        </w:rPr>
        <w:t xml:space="preserve">A técnica que dá a resposta correta antes que a pessoa tente adivinhar, evitando que o erro seja aprendido, é a: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recuperação espaçada.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aprendizagem sem erro.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análise funcional.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previsão e comparação.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Goal Management Training.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22</w:t>
      </w:r>
    </w:p>
    <w:p>
      <w:pPr>
        <w:spacing w:after="120"/>
        <w:ind w:firstLine="0"/>
      </w:pPr>
      <w:r>
        <w:t xml:space="preserve">Cada técnica tem um alvo.</w:t>
      </w:r>
    </w:p>
    <w:p>
      <w:pPr>
        <w:spacing w:after="120"/>
        <w:ind w:firstLine="0"/>
      </w:pPr>
      <w:r>
        <w:rPr>
          <w:b/>
          <w:bCs/>
        </w:rPr>
        <w:t xml:space="preserve">Relacione a técnica ao alvo principal.</w:t>
      </w:r>
    </w:p>
    <w:p>
      <w:pPr>
        <w:spacing w:after="80"/>
        <w:ind w:left="340" w:hanging="340"/>
      </w:pPr>
      <w:r>
        <w:t xml:space="preserve">1. Goal Management Training</w:t>
      </w:r>
    </w:p>
    <w:p>
      <w:pPr>
        <w:spacing w:after="80"/>
        <w:ind w:left="340" w:hanging="340"/>
      </w:pPr>
      <w:r>
        <w:t xml:space="preserve">2. Recuperação espaçada</w:t>
      </w:r>
    </w:p>
    <w:p>
      <w:pPr>
        <w:spacing w:after="80"/>
        <w:ind w:left="340" w:hanging="340"/>
      </w:pPr>
      <w:r>
        <w:t xml:space="preserve">3. Previsão e comparação</w:t>
      </w:r>
    </w:p>
    <w:p>
      <w:pPr>
        <w:spacing w:after="80"/>
        <w:ind w:left="340" w:hanging="340"/>
      </w:pPr>
      <w:r>
        <w:t xml:space="preserve">4. Análise funcional</w:t>
      </w:r>
    </w:p>
    <w:p>
      <w:pPr>
        <w:spacing w:after="0"/>
        <w:ind w:firstLine="0"/>
      </w:pPr>
    </w:p>
    <w:p>
      <w:pPr>
        <w:spacing w:after="80"/>
        <w:ind w:left="340" w:hanging="340"/>
      </w:pPr>
      <w:r>
        <w:t xml:space="preserve">(   ) Autoconsciência das dificuldades.</w:t>
      </w:r>
    </w:p>
    <w:p>
      <w:pPr>
        <w:spacing w:after="80"/>
        <w:ind w:left="340" w:hanging="340"/>
      </w:pPr>
      <w:r>
        <w:t xml:space="preserve">(   ) Comportamento problema e seus gatilhos.</w:t>
      </w:r>
    </w:p>
    <w:p>
      <w:pPr>
        <w:spacing w:after="80"/>
        <w:ind w:left="340" w:hanging="340"/>
      </w:pPr>
      <w:r>
        <w:t xml:space="preserve">(   ) Planejamento e execução de tarefas com várias etapas.</w:t>
      </w:r>
    </w:p>
    <w:p>
      <w:pPr>
        <w:spacing w:after="80"/>
        <w:ind w:left="340" w:hanging="340"/>
      </w:pPr>
      <w:r>
        <w:t xml:space="preserve">(   ) Aprendizagem de informação específica, como um nome.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1 – 2 – 3 – 4.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4 – 3 – 1 – 2.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2 – 1 – 4 – 3.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4 – 3 – 2 – 1.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3 – 4 – 1 – 2.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23</w:t>
      </w:r>
    </w:p>
    <w:p>
      <w:pPr>
        <w:spacing w:after="120"/>
        <w:ind w:firstLine="0"/>
      </w:pPr>
      <w:r>
        <w:t xml:space="preserve">Sobre auxílios externos de memória, julgue as afirmativas em verdadeiras (V) ou falsas (F).</w:t>
      </w:r>
    </w:p>
    <w:p>
      <w:pPr>
        <w:spacing w:after="80"/>
        <w:ind w:left="340" w:hanging="340"/>
      </w:pPr>
      <w:r>
        <w:t xml:space="preserve">(   ) São a intervenção de memória com mais evidência em lesão adquirida.</w:t>
      </w:r>
    </w:p>
    <w:p>
      <w:pPr>
        <w:spacing w:after="80"/>
        <w:ind w:left="340" w:hanging="340"/>
      </w:pPr>
      <w:r>
        <w:t xml:space="preserve">(   ) Usar a agenda é, em si, uma tarefa de memória.</w:t>
      </w:r>
    </w:p>
    <w:p>
      <w:pPr>
        <w:spacing w:after="80"/>
        <w:ind w:left="340" w:hanging="340"/>
      </w:pPr>
      <w:r>
        <w:t xml:space="preserve">(   ) Basta entregar a agenda ao paciente: o uso acontece espontaneamente.</w:t>
      </w:r>
    </w:p>
    <w:p>
      <w:pPr>
        <w:spacing w:after="80"/>
        <w:ind w:left="340" w:hanging="340"/>
      </w:pPr>
      <w:r>
        <w:t xml:space="preserve">(   ) O uso deve ser treinado em etapas: aquisição, aplicação e adaptação.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V – V – V – F.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F – V – F – V.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V – V – F – 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V – F – V – F.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F – F – V – V.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24</w:t>
      </w:r>
    </w:p>
    <w:p>
      <w:pPr>
        <w:spacing w:after="120"/>
        <w:ind w:firstLine="0"/>
      </w:pPr>
      <w:r>
        <w:t xml:space="preserve">Sobre treino cognitivo computadorizado, avalie as afirmativas.</w:t>
      </w:r>
    </w:p>
    <w:p>
      <w:pPr>
        <w:spacing w:after="80"/>
        <w:ind w:left="340" w:hanging="340"/>
      </w:pPr>
      <w:r>
        <w:t xml:space="preserve">I. Melhora o desempenho na tarefa treinada.</w:t>
      </w:r>
    </w:p>
    <w:p>
      <w:pPr>
        <w:spacing w:after="80"/>
        <w:ind w:left="340" w:hanging="340"/>
      </w:pPr>
      <w:r>
        <w:t xml:space="preserve">II. Transfere pouco para a vida diária quando feito sem meta funcional.</w:t>
      </w:r>
    </w:p>
    <w:p>
      <w:pPr>
        <w:spacing w:after="80"/>
        <w:ind w:left="340" w:hanging="340"/>
      </w:pPr>
      <w:r>
        <w:t xml:space="preserve">III. Pode ser útil dentro de um plano com meta e terapeuta.</w:t>
      </w:r>
    </w:p>
    <w:p>
      <w:pPr>
        <w:spacing w:after="80"/>
        <w:ind w:left="340" w:hanging="340"/>
      </w:pPr>
      <w:r>
        <w:t xml:space="preserve">IV. Substitui o trabalho com a família e com o ambiente.</w:t>
      </w:r>
    </w:p>
    <w:p>
      <w:pPr>
        <w:spacing w:after="120"/>
        <w:ind w:firstLine="0"/>
      </w:pPr>
      <w:r>
        <w:rPr>
          <w:b/>
          <w:bCs/>
        </w:rPr>
        <w:t xml:space="preserve">É correto apenas o que se afirma em: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I e IV.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II e IV.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III e IV.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I, II e III.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I, II, III e IV.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25</w:t>
      </w:r>
    </w:p>
    <w:p>
      <w:pPr>
        <w:spacing w:after="120"/>
        <w:ind w:firstLine="0"/>
      </w:pPr>
      <w:r>
        <w:t xml:space="preserve">Um paciente após TCE começa várias tarefas e não termina nenhuma. Ele percebe o erro só quando a esposa aponta.</w:t>
      </w:r>
    </w:p>
    <w:p>
      <w:pPr>
        <w:spacing w:after="120"/>
        <w:ind w:firstLine="0"/>
      </w:pPr>
      <w:r>
        <w:rPr>
          <w:b/>
          <w:bCs/>
        </w:rPr>
        <w:t xml:space="preserve">Assinale a combinação de técnicas mais adequada.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Treino de autoconsciência por previsão e comparação, associado ao Goal Management Training.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Aprendizagem sem erro de uma lista de palavras.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Jogos de memória no tablet, sem meta definida.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Corrigir o paciente sempre que errar, para que ele perceba.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Nenhuma intervenção, pois ele percebe o erro quando apontado.</w:t>
      </w:r>
    </w:p>
    <w:p>
      <w:pPr>
        <w:spacing w:after="0"/>
        <w:ind w:firstLine="0"/>
      </w:pPr>
    </w:p>
    <w:p>
      <w:pPr>
        <w:pStyle w:val="Ttulo1"/>
        <w:keepNext/>
        <w:rPr>
          <w:sz w:val="22"/>
        </w:rPr>
      </w:pPr>
      <w:r>
        <w:br w:type="page"/>
      </w:r>
      <w:r>
        <w:rPr>
          <w:sz w:val="22"/>
        </w:rPr>
        <w:t xml:space="preserve">Aula 16 — Reabilitação: avaliação, planejamento e equipe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26</w:t>
      </w:r>
    </w:p>
    <w:p>
      <w:pPr>
        <w:spacing w:after="120"/>
        <w:ind w:firstLine="0"/>
      </w:pPr>
      <w:r>
        <w:rPr>
          <w:b/>
          <w:bCs/>
        </w:rPr>
        <w:t xml:space="preserve">No plano de reabilitação, a formulação serve para: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listar os escores dos testes.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definir o diagnóstico médico.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explicar por que os problemas da rotina acontecem, ligando déficits, emoção e contexto.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escolher o instrumento de rastreio.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substituir as metas.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27</w:t>
      </w:r>
    </w:p>
    <w:p>
      <w:pPr>
        <w:spacing w:after="120"/>
        <w:ind w:firstLine="0"/>
      </w:pPr>
      <w:r>
        <w:t xml:space="preserve">A equipe interdisciplinar divide o trabalho.</w:t>
      </w:r>
    </w:p>
    <w:p>
      <w:pPr>
        <w:spacing w:after="120"/>
        <w:ind w:firstLine="0"/>
      </w:pPr>
      <w:r>
        <w:rPr>
          <w:b/>
          <w:bCs/>
        </w:rPr>
        <w:t xml:space="preserve">Relacione o profissional ao foco principal.</w:t>
      </w:r>
    </w:p>
    <w:p>
      <w:pPr>
        <w:spacing w:after="80"/>
        <w:ind w:left="340" w:hanging="340"/>
      </w:pPr>
      <w:r>
        <w:t xml:space="preserve">1. Fonoaudiologia</w:t>
      </w:r>
    </w:p>
    <w:p>
      <w:pPr>
        <w:spacing w:after="80"/>
        <w:ind w:left="340" w:hanging="340"/>
      </w:pPr>
      <w:r>
        <w:t xml:space="preserve">2. Terapia ocupacional</w:t>
      </w:r>
    </w:p>
    <w:p>
      <w:pPr>
        <w:spacing w:after="80"/>
        <w:ind w:left="340" w:hanging="340"/>
      </w:pPr>
      <w:r>
        <w:t xml:space="preserve">3. Neuropsicologia</w:t>
      </w:r>
    </w:p>
    <w:p>
      <w:pPr>
        <w:spacing w:after="0"/>
        <w:ind w:firstLine="0"/>
      </w:pPr>
    </w:p>
    <w:p>
      <w:pPr>
        <w:spacing w:after="80"/>
        <w:ind w:left="340" w:hanging="340"/>
      </w:pPr>
      <w:r>
        <w:t xml:space="preserve">(   ) Atividades de vida diária e adaptações da casa.</w:t>
      </w:r>
    </w:p>
    <w:p>
      <w:pPr>
        <w:spacing w:after="80"/>
        <w:ind w:left="340" w:hanging="340"/>
      </w:pPr>
      <w:r>
        <w:t xml:space="preserve">(   ) Cognição, emoção, comportamento e estratégias.</w:t>
      </w:r>
    </w:p>
    <w:p>
      <w:pPr>
        <w:spacing w:after="80"/>
        <w:ind w:left="340" w:hanging="340"/>
      </w:pPr>
      <w:r>
        <w:t xml:space="preserve">(   ) Linguagem, fala e deglutição.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1 – 2 – 3.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2 – 3 – 1.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3 – 1 – 2.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2 – 1 – 3.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3 – 2 – 1.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28</w:t>
      </w:r>
    </w:p>
    <w:p>
      <w:pPr>
        <w:spacing w:after="120"/>
        <w:ind w:firstLine="0"/>
      </w:pPr>
      <w:r>
        <w:t xml:space="preserve">Sobre medidas de resultado, julgue as afirmativas em verdadeiras (V) ou falsas (F).</w:t>
      </w:r>
    </w:p>
    <w:p>
      <w:pPr>
        <w:spacing w:after="80"/>
        <w:ind w:left="340" w:hanging="340"/>
      </w:pPr>
      <w:r>
        <w:t xml:space="preserve">(   ) A GAS mede o alcance de cada meta numa escala individual.</w:t>
      </w:r>
    </w:p>
    <w:p>
      <w:pPr>
        <w:spacing w:after="80"/>
        <w:ind w:left="340" w:hanging="340"/>
      </w:pPr>
      <w:r>
        <w:t xml:space="preserve">(   ) Escalas de atividades de vida diária medem a mudança na rotina.</w:t>
      </w:r>
    </w:p>
    <w:p>
      <w:pPr>
        <w:spacing w:after="80"/>
        <w:ind w:left="340" w:hanging="340"/>
      </w:pPr>
      <w:r>
        <w:t xml:space="preserve">(   ) Testes cognitivos medem a mudança no quadro.</w:t>
      </w:r>
    </w:p>
    <w:p>
      <w:pPr>
        <w:spacing w:after="80"/>
        <w:ind w:left="340" w:hanging="340"/>
      </w:pPr>
      <w:r>
        <w:t xml:space="preserve">(   ) O plano só deve ser revisto na reavaliação com testes, a cada dois anos.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V – F – V – F.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F – V – V – V.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V – V – F – 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V – V – V – F.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F – F – V – F.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29</w:t>
      </w:r>
    </w:p>
    <w:p>
      <w:pPr>
        <w:spacing w:after="120"/>
        <w:ind w:firstLine="0"/>
      </w:pPr>
      <w:r>
        <w:t xml:space="preserve">Seu Arlindo, 76 anos, com TNC leve, quer continuar dirigindo; a filha quer que ele pare.</w:t>
      </w:r>
    </w:p>
    <w:p>
      <w:pPr>
        <w:spacing w:after="120"/>
        <w:ind w:firstLine="0"/>
      </w:pPr>
      <w:r>
        <w:rPr>
          <w:b/>
          <w:bCs/>
        </w:rPr>
        <w:t xml:space="preserve">Sobre a conduta ética, avalie as afirmativas.</w:t>
      </w:r>
    </w:p>
    <w:p>
      <w:pPr>
        <w:spacing w:after="80"/>
        <w:ind w:left="340" w:hanging="340"/>
      </w:pPr>
      <w:r>
        <w:t xml:space="preserve">I. O neuropsicólogo deve informar o risco com base nos dados.</w:t>
      </w:r>
    </w:p>
    <w:p>
      <w:pPr>
        <w:spacing w:after="80"/>
        <w:ind w:left="340" w:hanging="340"/>
      </w:pPr>
      <w:r>
        <w:t xml:space="preserve">II. A decisão deve ser apoiada, envolvendo a equipe médica.</w:t>
      </w:r>
    </w:p>
    <w:p>
      <w:pPr>
        <w:spacing w:after="80"/>
        <w:ind w:left="340" w:hanging="340"/>
      </w:pPr>
      <w:r>
        <w:t xml:space="preserve">III. Cabe ao neuropsicólogo decidir sozinho e comunicar a família.</w:t>
      </w:r>
    </w:p>
    <w:p>
      <w:pPr>
        <w:spacing w:after="80"/>
        <w:ind w:left="340" w:hanging="340"/>
      </w:pPr>
      <w:r>
        <w:t xml:space="preserve">IV. A autonomia de Seu Arlindo deve ser respeitada no processo.</w:t>
      </w:r>
    </w:p>
    <w:p>
      <w:pPr>
        <w:spacing w:after="120"/>
        <w:ind w:firstLine="0"/>
      </w:pPr>
      <w:r>
        <w:rPr>
          <w:b/>
          <w:bCs/>
        </w:rPr>
        <w:t xml:space="preserve">É correto apenas o que se afirma em: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I e III.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II e III.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III e IV.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I, III e IV.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I, II e IV.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30</w:t>
      </w:r>
    </w:p>
    <w:p>
      <w:pPr>
        <w:spacing w:after="120"/>
        <w:ind w:firstLine="0"/>
      </w:pPr>
      <w:r>
        <w:t xml:space="preserve">Sr. Rodrigo, após TCE grave, quer voltar a trabalhar; a companheira quer menos brigas em casa. Ele tem consciência reduzida das dificuldades.</w:t>
      </w:r>
    </w:p>
    <w:p>
      <w:pPr>
        <w:spacing w:after="120"/>
        <w:ind w:firstLine="0"/>
      </w:pPr>
      <w:r>
        <w:rPr>
          <w:b/>
          <w:bCs/>
        </w:rPr>
        <w:t xml:space="preserve">Avalie as asserções a seguir e a relação proposta entre elas.</w:t>
      </w:r>
    </w:p>
    <w:p>
      <w:pPr>
        <w:spacing w:after="80"/>
        <w:ind w:left="340" w:hanging="340"/>
      </w:pPr>
      <w:r>
        <w:t xml:space="preserve">I. O plano deve incluir treino de autoconsciência antes de metas de retorno ao trabalho.</w:t>
      </w:r>
    </w:p>
    <w:p>
      <w:pPr>
        <w:spacing w:after="80"/>
        <w:ind w:firstLine="0"/>
        <w:jc w:val="center"/>
      </w:pPr>
      <w:r>
        <w:rPr>
          <w:b/>
          <w:bCs/>
        </w:rPr>
        <w:t xml:space="preserve">PORQUE</w:t>
      </w:r>
    </w:p>
    <w:p>
      <w:pPr>
        <w:spacing w:after="80"/>
        <w:ind w:left="340" w:hanging="340"/>
      </w:pPr>
      <w:r>
        <w:t xml:space="preserve">II. Sem consciência das próprias dificuldades, a pessoa tende a não aderir às estratégias e a superestimar a própria capacidade.</w:t>
      </w:r>
    </w:p>
    <w:p>
      <w:pPr>
        <w:spacing w:after="120"/>
        <w:ind w:firstLine="0"/>
      </w:pPr>
      <w:r>
        <w:rPr>
          <w:b/>
          <w:bCs/>
        </w:rPr>
        <w:t xml:space="preserve">A respeito dessas asserções, assinale a opção correta.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As asserções I e II são proposições verdadeiras, e a II é uma justificativa correta da I.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As asserções I e II são proposições verdadeiras, mas a II não é uma justificativa correta da I.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A asserção I é uma proposição verdadeira, e a II é uma proposição falsa.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A asserção I é uma proposição falsa, e a II é uma proposição verdadeira.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As asserções I e II são proposições falsas.</w:t>
      </w:r>
    </w:p>
    <w:p>
      <w:pPr>
        <w:spacing w:after="0"/>
        <w:ind w:firstLine="0"/>
      </w:pPr>
    </w:p>
    <w:p>
      <w:pPr>
        <w:pStyle w:val="Ttulo1"/>
        <w:keepNext/>
        <w:rPr>
          <w:sz w:val="22"/>
        </w:rPr>
      </w:pPr>
      <w:r>
        <w:br w:type="page"/>
      </w:r>
      <w:r>
        <w:rPr>
          <w:sz w:val="22"/>
        </w:rPr>
        <w:t xml:space="preserve">Gabarito</w:t>
      </w:r>
    </w:p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26"/>
      </w:tblGrid>
      <w:tr>
        <w:trPr>
          <w:cantSplit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</w:rPr>
              <w:t xml:space="preserve">Aula</w:t>
            </w:r>
          </w:p>
        </w:tc>
        <w:tc>
          <w:tcPr>
            <w:tcW w:w="722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</w:rPr>
              <w:t xml:space="preserve">Questões e respostas</w:t>
            </w:r>
          </w:p>
        </w:tc>
      </w:tr>
      <w:tr>
        <w:trPr>
          <w:cantSplit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Aula 11</w:t>
            </w:r>
          </w:p>
        </w:tc>
        <w:tc>
          <w:tcPr>
            <w:tcW w:w="72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1-D    2-A    3-E    4-B    5-C</w:t>
            </w:r>
          </w:p>
        </w:tc>
      </w:tr>
      <w:tr>
        <w:trPr>
          <w:cantSplit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Aula 12</w:t>
            </w:r>
          </w:p>
        </w:tc>
        <w:tc>
          <w:tcPr>
            <w:tcW w:w="72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6-C    7-B    8-A    9-D    10-A</w:t>
            </w:r>
          </w:p>
        </w:tc>
      </w:tr>
      <w:tr>
        <w:trPr>
          <w:cantSplit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Aula 13</w:t>
            </w:r>
          </w:p>
        </w:tc>
        <w:tc>
          <w:tcPr>
            <w:tcW w:w="72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11-B    12-D    13-E    14-C    15-A</w:t>
            </w:r>
          </w:p>
        </w:tc>
      </w:tr>
      <w:tr>
        <w:trPr>
          <w:cantSplit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Aula 14</w:t>
            </w:r>
          </w:p>
        </w:tc>
        <w:tc>
          <w:tcPr>
            <w:tcW w:w="72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16-E    17-C    18-A    19-D    20-C</w:t>
            </w:r>
          </w:p>
        </w:tc>
      </w:tr>
      <w:tr>
        <w:trPr>
          <w:cantSplit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Aula 15</w:t>
            </w:r>
          </w:p>
        </w:tc>
        <w:tc>
          <w:tcPr>
            <w:tcW w:w="72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21-B    22-E    23-C    24-D    25-A</w:t>
            </w:r>
          </w:p>
        </w:tc>
      </w:tr>
      <w:tr>
        <w:trPr>
          <w:cantSplit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Aula 16</w:t>
            </w:r>
          </w:p>
        </w:tc>
        <w:tc>
          <w:tcPr>
            <w:tcW w:w="72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26-C    27-B    28-D    29-E    30-A</w:t>
            </w:r>
          </w:p>
        </w:tc>
      </w:tr>
    </w:tbl>
    <w:p>
      <w:pPr>
        <w:spacing w:after="0"/>
        <w:ind w:firstLine="0"/>
      </w:pPr>
    </w:p>
    <w:sectPr w:rsidR="00734FF8" w:rsidRPr="00376B54" w:rsidSect="004208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1417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9B2B8" w14:textId="77777777" w:rsidR="00EC624F" w:rsidRPr="0097154C" w:rsidRDefault="00EC624F">
      <w:pPr>
        <w:spacing w:line="240" w:lineRule="auto"/>
      </w:pPr>
      <w:r w:rsidRPr="0097154C">
        <w:separator/>
      </w:r>
    </w:p>
  </w:endnote>
  <w:endnote w:type="continuationSeparator" w:id="0">
    <w:p w14:paraId="10916CAF" w14:textId="77777777" w:rsidR="00EC624F" w:rsidRPr="0097154C" w:rsidRDefault="00EC624F">
      <w:pPr>
        <w:spacing w:line="240" w:lineRule="auto"/>
      </w:pPr>
      <w:r w:rsidRPr="0097154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6CC6C6-A7F2-4663-A979-4B2E838502C9}"/>
    <w:embedBold r:id="rId2" w:fontKey="{B4CA3ED9-026E-479F-8C5C-283000E629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338CF2-B788-4D51-BA0F-1EA17FBD23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9D17" w14:textId="77777777" w:rsidR="00A22BA2" w:rsidRDefault="00A22B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578D" w14:textId="0BFC6AC6" w:rsidR="0097154C" w:rsidRDefault="0097154C" w:rsidP="0097154C">
    <w:pPr>
      <w:pStyle w:val="Rodap"/>
      <w:jc w:val="center"/>
    </w:pPr>
    <w:r w:rsidRPr="0097154C">
      <w:t xml:space="preserve">R. Cachoeira </w:t>
    </w:r>
    <w:proofErr w:type="spellStart"/>
    <w:r w:rsidRPr="0097154C">
      <w:t>Utupanema</w:t>
    </w:r>
    <w:proofErr w:type="spellEnd"/>
    <w:r w:rsidRPr="0097154C">
      <w:t>, 40 – Vila Carmosina, São Paulo – SP, 08270-140 – Telefone: (11) 2217-9110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7C91" w14:textId="77777777" w:rsidR="00A22BA2" w:rsidRDefault="00A22B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FA658" w14:textId="77777777" w:rsidR="00EC624F" w:rsidRPr="0097154C" w:rsidRDefault="00EC624F">
      <w:pPr>
        <w:spacing w:line="240" w:lineRule="auto"/>
      </w:pPr>
      <w:r w:rsidRPr="0097154C">
        <w:separator/>
      </w:r>
    </w:p>
  </w:footnote>
  <w:footnote w:type="continuationSeparator" w:id="0">
    <w:p w14:paraId="1C6B4122" w14:textId="77777777" w:rsidR="00EC624F" w:rsidRPr="0097154C" w:rsidRDefault="00EC624F">
      <w:pPr>
        <w:spacing w:line="240" w:lineRule="auto"/>
      </w:pPr>
      <w:r w:rsidRPr="0097154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2F6DA" w14:textId="77777777" w:rsidR="00A22BA2" w:rsidRDefault="00A22B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C577" w14:textId="77777777" w:rsidR="00734FF8" w:rsidRPr="0097154C" w:rsidRDefault="00000000" w:rsidP="004208E5">
    <w:pPr>
      <w:ind w:firstLine="0"/>
    </w:pPr>
    <w:r w:rsidRPr="0097154C">
      <w:rPr>
        <w:noProof/>
      </w:rPr>
      <w:drawing>
        <wp:anchor distT="114300" distB="114300" distL="114300" distR="114300" simplePos="0" relativeHeight="251658240" behindDoc="0" locked="0" layoutInCell="1" hidden="0" allowOverlap="1" wp14:anchorId="63181BBF" wp14:editId="2EED61C7">
          <wp:simplePos x="0" y="0"/>
          <wp:positionH relativeFrom="column">
            <wp:posOffset>-628649</wp:posOffset>
          </wp:positionH>
          <wp:positionV relativeFrom="paragraph">
            <wp:posOffset>-771524</wp:posOffset>
          </wp:positionV>
          <wp:extent cx="2571750" cy="6858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7175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ABEB7" w14:textId="77777777" w:rsidR="00A22BA2" w:rsidRDefault="00A22BA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FF8"/>
    <w:rsid w:val="00233789"/>
    <w:rsid w:val="00376B54"/>
    <w:rsid w:val="003F79FC"/>
    <w:rsid w:val="004208E5"/>
    <w:rsid w:val="00577948"/>
    <w:rsid w:val="00597B11"/>
    <w:rsid w:val="00734FF8"/>
    <w:rsid w:val="007C1DBB"/>
    <w:rsid w:val="0097154C"/>
    <w:rsid w:val="00A22BA2"/>
    <w:rsid w:val="00BA3311"/>
    <w:rsid w:val="00C33BA3"/>
    <w:rsid w:val="00D00831"/>
    <w:rsid w:val="00EC624F"/>
    <w:rsid w:val="00EE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A7CE0"/>
  <w15:docId w15:val="{054C55D4-A07A-40BF-9D89-0B695541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76B54"/>
    <w:pPr>
      <w:keepNext/>
      <w:pBdr>
        <w:bottom w:val="single" w:sz="4" w:space="4" w:color="BFBFBF"/>
      </w:pBdr>
      <w:spacing w:before="360" w:after="140" w:line="276" w:lineRule="auto"/>
      <w:ind w:firstLine="0"/>
      <w:jc w:val="left"/>
      <w:outlineLvl w:val="0"/>
    </w:pPr>
    <w:rPr>
      <w:rFonts w:eastAsia="Calibri"/>
      <w:b/>
      <w:sz w:val="24"/>
      <w:lang w:eastAsia="en-US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154C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154C"/>
    <w:rPr>
      <w:lang w:val="pt-BR"/>
    </w:rPr>
  </w:style>
  <w:style w:type="character" w:customStyle="1" w:styleId="Ttulo1Char">
    <w:name w:val="Título 1 Char"/>
    <w:basedOn w:val="Fontepargpadro"/>
    <w:link w:val="Ttulo1"/>
    <w:uiPriority w:val="9"/>
    <w:rsid w:val="00376B54"/>
    <w:rPr>
      <w:rFonts w:eastAsia="Calibri"/>
      <w:b/>
      <w:sz w:val="24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2239</Words>
  <Characters>12096</Characters>
  <Application>Microsoft Office Word</Application>
  <DocSecurity>1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Peres Barbieri</cp:lastModifiedBy>
  <cp:revision>7</cp:revision>
  <dcterms:created xsi:type="dcterms:W3CDTF">2026-09-24T18:05:00Z</dcterms:created>
  <dcterms:modified xsi:type="dcterms:W3CDTF">2026-09-30T17:44:00Z</dcterms:modified>
  <dc:creator>André Peres Barbieri</dc:creator>
  <dc:title>Banco de questões — Segundo bimestre</dc:title>
  <dc:description/>
</cp:coreProperties>
</file>