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  <w:spacing w:after="0"/>
        <w:ind w:firstLine="0"/>
        <w:jc w:val="center"/>
      </w:pPr>
      <w:r>
        <w:t xml:space="preserve">Proposta de seminário</w:t>
      </w:r>
    </w:p>
    <w:p>
      <w:pPr>
        <w:pStyle w:val="Ttulo"/>
        <w:spacing w:after="0"/>
        <w:ind w:firstLine="0"/>
        <w:jc w:val="center"/>
      </w:pPr>
      <w:r>
        <w:t xml:space="preserve">Neuropsicologia II</w:t>
      </w:r>
    </w:p>
    <w:p>
      <w:pPr>
        <w:spacing w:after="120"/>
        <w:ind w:firstLine="0"/>
        <w:jc w:val="center"/>
      </w:pPr>
      <w:r>
        <w:t xml:space="preserve">Neuropsicologia nos transtornos psiquiátricos</w:t>
      </w:r>
    </w:p>
    <w:p>
      <w:pPr>
        <w:spacing w:before="120" w:after="120"/>
        <w:ind w:firstLine="0"/>
      </w:pPr>
      <w:r>
        <w:rPr>
          <w:b/>
          <w:bCs/>
        </w:rPr>
        <w:t xml:space="preserve">Prof.:</w:t>
      </w:r>
      <w:r>
        <w:t xml:space="preserve"> Esp. André Peres Barbieri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Objetivo</w:t>
      </w:r>
    </w:p>
    <w:p>
      <w:pPr>
        <w:spacing w:after="120"/>
        <w:ind w:firstLine="0"/>
      </w:pPr>
      <w:r>
        <w:t xml:space="preserve">Apresentar, a partir da literatura científica, como um transtorno psiquiátrico afeta a cognição, como essa alteração é avaliada e como ela aparece na conclusão de um laudo neuropsicológico. O seminário aprofunda a aula 06 e é conteúdo da Prova 1.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Organização</w:t>
      </w:r>
    </w:p>
    <w:p>
      <w:pPr>
        <w:spacing w:after="80"/>
        <w:ind w:left="567" w:hanging="340"/>
      </w:pPr>
      <w:r>
        <w:t xml:space="preserve">•  Dez grupos, formados na semana 1. Cada grupo recebe um transtorno por sorteio.</w:t>
      </w:r>
    </w:p>
    <w:p>
      <w:pPr>
        <w:spacing w:after="80"/>
        <w:ind w:left="567" w:hanging="340"/>
      </w:pPr>
      <w:r>
        <w:t xml:space="preserve">•  Os grupos 1 a 5 apresentam na semana 7 (23/03); os grupos 6 a 10, na semana 8 (30/03).</w:t>
      </w:r>
    </w:p>
    <w:p>
      <w:pPr>
        <w:spacing w:after="80"/>
        <w:ind w:left="567" w:hanging="340"/>
      </w:pPr>
      <w:r>
        <w:t xml:space="preserve">•  Os mesmos grupos fazem o plano de reabilitação do filme Meu Pai no segundo bimestre.</w:t>
      </w:r>
    </w:p>
    <w:tbl>
      <w:tblPr>
        <w:tblStyle w:val="a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3300"/>
        <w:gridCol w:w="1500"/>
        <w:gridCol w:w="3326"/>
      </w:tblGrid>
      <w:tr>
        <w:trPr>
          <w:cantSplit/>
        </w:trPr>
        <w:tc>
          <w:tcPr>
            <w:tcW w:w="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Grupo</w:t>
            </w:r>
          </w:p>
        </w:tc>
        <w:tc>
          <w:tcPr>
            <w:tcW w:w="3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Transtorno</w:t>
            </w:r>
          </w:p>
        </w:tc>
        <w:tc>
          <w:tcPr>
            <w:tcW w:w="1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w="332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Integrantes</w:t>
            </w:r>
          </w:p>
        </w:tc>
      </w:tr>
      <w:tr>
        <w:trPr>
          <w:cantSplit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Transtorno depressivo maior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S7 · 23/03</w:t>
            </w:r>
          </w:p>
        </w:tc>
        <w:tc>
          <w:tcPr>
            <w:tcW w:w="33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</w:p>
        </w:tc>
      </w:tr>
      <w:tr>
        <w:trPr>
          <w:cantSplit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Transtorno bipolar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S7 · 23/03</w:t>
            </w:r>
          </w:p>
        </w:tc>
        <w:tc>
          <w:tcPr>
            <w:tcW w:w="33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</w:p>
        </w:tc>
      </w:tr>
      <w:tr>
        <w:trPr>
          <w:cantSplit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Esquizofrenia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S7 · 23/03</w:t>
            </w:r>
          </w:p>
        </w:tc>
        <w:tc>
          <w:tcPr>
            <w:tcW w:w="33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</w:p>
        </w:tc>
      </w:tr>
      <w:tr>
        <w:trPr>
          <w:cantSplit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Transtorno obsessivo-compulsivo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S7 · 23/03</w:t>
            </w:r>
          </w:p>
        </w:tc>
        <w:tc>
          <w:tcPr>
            <w:tcW w:w="33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</w:p>
        </w:tc>
      </w:tr>
      <w:tr>
        <w:trPr>
          <w:cantSplit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Transtorno de estresse pós-traumático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S7 · 23/03</w:t>
            </w:r>
          </w:p>
        </w:tc>
        <w:tc>
          <w:tcPr>
            <w:tcW w:w="33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</w:p>
        </w:tc>
      </w:tr>
      <w:tr>
        <w:trPr>
          <w:cantSplit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Transtorno de ansiedade generalizada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S8 · 30/03</w:t>
            </w:r>
          </w:p>
        </w:tc>
        <w:tc>
          <w:tcPr>
            <w:tcW w:w="33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</w:p>
        </w:tc>
      </w:tr>
      <w:tr>
        <w:trPr>
          <w:cantSplit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TDAH no adulto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S8 · 30/03</w:t>
            </w:r>
          </w:p>
        </w:tc>
        <w:tc>
          <w:tcPr>
            <w:tcW w:w="33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</w:p>
        </w:tc>
      </w:tr>
      <w:tr>
        <w:trPr>
          <w:cantSplit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Transtorno por uso de álcool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S8 · 30/03</w:t>
            </w:r>
          </w:p>
        </w:tc>
        <w:tc>
          <w:tcPr>
            <w:tcW w:w="33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</w:p>
        </w:tc>
      </w:tr>
      <w:tr>
        <w:trPr>
          <w:cantSplit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Anorexia nervosa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S8 · 30/03</w:t>
            </w:r>
          </w:p>
        </w:tc>
        <w:tc>
          <w:tcPr>
            <w:tcW w:w="33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</w:p>
        </w:tc>
      </w:tr>
      <w:tr>
        <w:trPr>
          <w:cantSplit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Transtorno da personalidade borderline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S8 · 30/03</w:t>
            </w:r>
          </w:p>
        </w:tc>
        <w:tc>
          <w:tcPr>
            <w:tcW w:w="33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</w:p>
        </w:tc>
      </w:tr>
    </w:tbl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Roteiro obrigatório da apresentação</w:t>
      </w:r>
    </w:p>
    <w:p>
      <w:pPr>
        <w:spacing w:after="80"/>
        <w:ind w:left="340" w:hanging="340"/>
      </w:pPr>
      <w:r>
        <w:t xml:space="preserve">1. </w:t>
      </w:r>
      <w:r>
        <w:rPr>
          <w:b/>
          <w:bCs/>
        </w:rPr>
        <w:t xml:space="preserve">O quadro</w:t>
      </w:r>
      <w:r>
        <w:t xml:space="preserve"> — critérios diagnósticos (DSM-5-TR), curso e epidemiologia, em poucos slides.</w:t>
      </w:r>
    </w:p>
    <w:p>
      <w:pPr>
        <w:spacing w:after="80"/>
        <w:ind w:left="340" w:hanging="340"/>
      </w:pPr>
      <w:r>
        <w:t xml:space="preserve">2. </w:t>
      </w:r>
      <w:r>
        <w:rPr>
          <w:b/>
          <w:bCs/>
        </w:rPr>
        <w:t xml:space="preserve">O perfil cognitivo</w:t>
      </w:r>
      <w:r>
        <w:t xml:space="preserve"> — domínios alterados e preservados, distinguindo estado e traço.</w:t>
      </w:r>
    </w:p>
    <w:p>
      <w:pPr>
        <w:spacing w:after="80"/>
        <w:ind w:left="340" w:hanging="340"/>
      </w:pPr>
      <w:r>
        <w:t xml:space="preserve">3. </w:t>
      </w:r>
      <w:r>
        <w:rPr>
          <w:b/>
          <w:bCs/>
        </w:rPr>
        <w:t xml:space="preserve">A avaliação</w:t>
      </w:r>
      <w:r>
        <w:t xml:space="preserve"> — instrumentos indicados, normas brasileiras disponíveis e fatores de confusão (medicação, sono, substâncias, esforço).</w:t>
      </w:r>
    </w:p>
    <w:p>
      <w:pPr>
        <w:spacing w:after="80"/>
        <w:ind w:left="340" w:hanging="340"/>
      </w:pPr>
      <w:r>
        <w:t xml:space="preserve">4. </w:t>
      </w:r>
      <w:r>
        <w:rPr>
          <w:b/>
          <w:bCs/>
        </w:rPr>
        <w:t xml:space="preserve">Caso e laudo</w:t>
      </w:r>
      <w:r>
        <w:t xml:space="preserve"> — uma vinheta clínica fictícia e a conclusão do laudo escrita pelo grupo, respondendo a uma pergunta de encaminhamento.</w:t>
      </w:r>
    </w:p>
    <w:p>
      <w:pPr>
        <w:spacing w:after="80"/>
        <w:ind w:left="340" w:hanging="340"/>
      </w:pPr>
      <w:r>
        <w:t xml:space="preserve">5. </w:t>
      </w:r>
      <w:r>
        <w:rPr>
          <w:b/>
          <w:bCs/>
        </w:rPr>
        <w:t xml:space="preserve">Intervenção</w:t>
      </w:r>
      <w:r>
        <w:t xml:space="preserve"> — o que a reabilitação ou a remediação cognitiva oferecem para esse transtorno, com evidência.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Formato</w:t>
      </w:r>
    </w:p>
    <w:p>
      <w:pPr>
        <w:spacing w:after="80"/>
        <w:ind w:left="567" w:hanging="340"/>
      </w:pPr>
      <w:r>
        <w:t xml:space="preserve">•  25 minutos por grupo: 20 de apresentação e 5 de perguntas. O tempo é cronometrado.</w:t>
      </w:r>
    </w:p>
    <w:p>
      <w:pPr>
        <w:spacing w:after="80"/>
        <w:ind w:left="567" w:hanging="340"/>
      </w:pPr>
      <w:r>
        <w:t xml:space="preserve">•  Todos os integrantes apresentam uma parte e respondem a perguntas.</w:t>
      </w:r>
    </w:p>
    <w:p>
      <w:pPr>
        <w:spacing w:after="80"/>
        <w:ind w:left="567" w:hanging="340"/>
      </w:pPr>
      <w:r>
        <w:t xml:space="preserve">•  Slides legíveis do fundo da sala: pouco texto, uma ideia por slide, fonte e referência das figuras.</w:t>
      </w:r>
    </w:p>
    <w:p>
      <w:pPr>
        <w:spacing w:after="80"/>
        <w:ind w:left="567" w:hanging="340"/>
      </w:pPr>
      <w:r>
        <w:t xml:space="preserve">•  Cada grupo prepara uma pergunta para o grupo que apresenta em seguida.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Entrega</w:t>
      </w:r>
    </w:p>
    <w:p>
      <w:pPr>
        <w:spacing w:after="80"/>
        <w:ind w:left="567" w:hanging="340"/>
      </w:pPr>
      <w:r>
        <w:t xml:space="preserve">•  Slides em PDF e lista de referências enviados até as 23h59 do dia anterior à apresentação.</w:t>
      </w:r>
    </w:p>
    <w:p>
      <w:pPr>
        <w:spacing w:after="80"/>
        <w:ind w:left="567" w:hanging="340"/>
      </w:pPr>
      <w:r>
        <w:t xml:space="preserve">•  Mínimo de cinco referências, das quais ao menos duas são artigos científicos publicados nos últimos dez anos.</w:t>
      </w:r>
    </w:p>
    <w:p>
      <w:pPr>
        <w:spacing w:after="80"/>
        <w:ind w:left="567" w:hanging="340"/>
      </w:pPr>
      <w:r>
        <w:t xml:space="preserve">•  O caso deve ser fictício ou adaptado de artigo, sem nenhum dado que identifique uma pessoa real.</w:t>
      </w:r>
    </w:p>
    <w:p>
      <w:pPr>
        <w:spacing w:after="80"/>
        <w:ind w:left="567" w:hanging="340"/>
      </w:pPr>
      <w:r>
        <w:t xml:space="preserve">•  Referências em ABNT. Cópia de texto sem citação é plágio e zera a nota do grupo.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Critérios de avaliação</w:t>
      </w:r>
    </w:p>
    <w:tbl>
      <w:tblPr>
        <w:tblStyle w:val="a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1000"/>
        <w:gridCol w:w="5626"/>
      </w:tblGrid>
      <w:tr>
        <w:trPr>
          <w:cantSplit/>
        </w:trPr>
        <w:tc>
          <w:tcPr>
            <w:tcW w:w="2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Critério</w:t>
            </w:r>
          </w:p>
        </w:tc>
        <w:tc>
          <w:tcPr>
            <w:tcW w:w="1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Pontos</w:t>
            </w:r>
          </w:p>
        </w:tc>
        <w:tc>
          <w:tcPr>
            <w:tcW w:w="562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 que se observa</w:t>
            </w:r>
          </w:p>
        </w:tc>
      </w:tr>
      <w:tr>
        <w:trPr>
          <w:cantSplit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Domínio do conteúdo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3,0</w:t>
            </w:r>
          </w:p>
        </w:tc>
        <w:tc>
          <w:tcPr>
            <w:tcW w:w="56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quadro e perfil cognitivo corretos, sustentados por fontes</w:t>
            </w:r>
          </w:p>
        </w:tc>
      </w:tr>
      <w:tr>
        <w:trPr>
          <w:cantSplit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Avaliação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2,0</w:t>
            </w:r>
          </w:p>
        </w:tc>
        <w:tc>
          <w:tcPr>
            <w:tcW w:w="56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instrumentos adequados, normas brasileiras e confundidores</w:t>
            </w:r>
          </w:p>
        </w:tc>
      </w:tr>
      <w:tr>
        <w:trPr>
          <w:cantSplit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Caso e laudo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2,5</w:t>
            </w:r>
          </w:p>
        </w:tc>
        <w:tc>
          <w:tcPr>
            <w:tcW w:w="56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conclusão que responde à pergunta, por função, ligada ao quadro e à rotina</w:t>
            </w:r>
          </w:p>
        </w:tc>
      </w:tr>
      <w:tr>
        <w:trPr>
          <w:cantSplit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Comunicação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1,5</w:t>
            </w:r>
          </w:p>
        </w:tc>
        <w:tc>
          <w:tcPr>
            <w:tcW w:w="56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clareza, respeito ao tempo, slides legíveis</w:t>
            </w:r>
          </w:p>
        </w:tc>
      </w:tr>
      <w:tr>
        <w:trPr>
          <w:cantSplit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Perguntas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1,0</w:t>
            </w:r>
          </w:p>
        </w:tc>
        <w:tc>
          <w:tcPr>
            <w:tcW w:w="56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respostas do grupo e pergunta feita ao grupo seguinte</w:t>
            </w:r>
          </w:p>
        </w:tc>
      </w:tr>
      <w:tr>
        <w:trPr>
          <w:cantSplit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10,0</w:t>
            </w:r>
          </w:p>
        </w:tc>
        <w:tc>
          <w:tcPr>
            <w:tcW w:w="56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peso na média do bimestre: ________ (definido no plano de ensino)</w:t>
            </w:r>
          </w:p>
        </w:tc>
      </w:tr>
    </w:tbl>
    <w:p>
      <w:pPr>
        <w:spacing w:after="0"/>
        <w:ind w:firstLine="0"/>
      </w:pPr>
    </w:p>
    <w:p>
      <w:pPr>
        <w:spacing w:after="120"/>
        <w:ind w:firstLine="0"/>
      </w:pPr>
      <w:r>
        <w:t xml:space="preserve">Comunicação e perguntas têm componente individual: quem não apresenta ou não responde perde esses pontos.</w:t>
      </w:r>
    </w:p>
    <w:p>
      <w:pPr>
        <w:spacing w:after="120"/>
        <w:ind w:firstLine="0"/>
      </w:pPr>
      <w:r>
        <w:t xml:space="preserve">O material de apoio está em </w:t>
      </w:r>
      <w:r>
        <w:rPr>
          <w:b/>
          <w:bCs/>
        </w:rPr>
        <w:t xml:space="preserve">referencia-seminario.docx</w:t>
      </w:r>
      <w:r>
        <w:t xml:space="preserve">, nesta mesma pasta.</w:t>
      </w:r>
    </w:p>
    <w:sectPr w:rsidR="00734FF8" w:rsidRPr="00376B54" w:rsidSect="004208E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1417" w:footer="45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9B2B8" w14:textId="77777777" w:rsidR="00EC624F" w:rsidRPr="0097154C" w:rsidRDefault="00EC624F">
      <w:pPr>
        <w:spacing w:line="240" w:lineRule="auto"/>
      </w:pPr>
      <w:r w:rsidRPr="0097154C">
        <w:separator/>
      </w:r>
    </w:p>
  </w:endnote>
  <w:endnote w:type="continuationSeparator" w:id="0">
    <w:p w14:paraId="10916CAF" w14:textId="77777777" w:rsidR="00EC624F" w:rsidRPr="0097154C" w:rsidRDefault="00EC624F">
      <w:pPr>
        <w:spacing w:line="240" w:lineRule="auto"/>
      </w:pPr>
      <w:r w:rsidRPr="0097154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66CC6C6-A7F2-4663-A979-4B2E838502C9}"/>
    <w:embedBold r:id="rId2" w:fontKey="{B4CA3ED9-026E-479F-8C5C-283000E629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4338CF2-B788-4D51-BA0F-1EA17FBD23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E9D17" w14:textId="77777777" w:rsidR="00A22BA2" w:rsidRDefault="00A22BA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1578D" w14:textId="0BFC6AC6" w:rsidR="0097154C" w:rsidRDefault="0097154C" w:rsidP="0097154C">
    <w:pPr>
      <w:pStyle w:val="Rodap"/>
      <w:jc w:val="center"/>
    </w:pPr>
    <w:r w:rsidRPr="0097154C">
      <w:t xml:space="preserve">R. Cachoeira </w:t>
    </w:r>
    <w:proofErr w:type="spellStart"/>
    <w:r w:rsidRPr="0097154C">
      <w:t>Utupanema</w:t>
    </w:r>
    <w:proofErr w:type="spellEnd"/>
    <w:r w:rsidRPr="0097154C">
      <w:t>, 40 – Vila Carmosina, São Paulo – SP, 08270-140 – Telefone: (11) 2217-9110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27C91" w14:textId="77777777" w:rsidR="00A22BA2" w:rsidRDefault="00A22B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FA658" w14:textId="77777777" w:rsidR="00EC624F" w:rsidRPr="0097154C" w:rsidRDefault="00EC624F">
      <w:pPr>
        <w:spacing w:line="240" w:lineRule="auto"/>
      </w:pPr>
      <w:r w:rsidRPr="0097154C">
        <w:separator/>
      </w:r>
    </w:p>
  </w:footnote>
  <w:footnote w:type="continuationSeparator" w:id="0">
    <w:p w14:paraId="1C6B4122" w14:textId="77777777" w:rsidR="00EC624F" w:rsidRPr="0097154C" w:rsidRDefault="00EC624F">
      <w:pPr>
        <w:spacing w:line="240" w:lineRule="auto"/>
      </w:pPr>
      <w:r w:rsidRPr="0097154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2F6DA" w14:textId="77777777" w:rsidR="00A22BA2" w:rsidRDefault="00A22BA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C577" w14:textId="77777777" w:rsidR="00734FF8" w:rsidRPr="0097154C" w:rsidRDefault="00000000" w:rsidP="004208E5">
    <w:pPr>
      <w:ind w:firstLine="0"/>
    </w:pPr>
    <w:r w:rsidRPr="0097154C">
      <w:rPr>
        <w:noProof/>
      </w:rPr>
      <w:drawing>
        <wp:anchor distT="114300" distB="114300" distL="114300" distR="114300" simplePos="0" relativeHeight="251658240" behindDoc="0" locked="0" layoutInCell="1" hidden="0" allowOverlap="1" wp14:anchorId="63181BBF" wp14:editId="2EED61C7">
          <wp:simplePos x="0" y="0"/>
          <wp:positionH relativeFrom="column">
            <wp:posOffset>-628649</wp:posOffset>
          </wp:positionH>
          <wp:positionV relativeFrom="paragraph">
            <wp:posOffset>-771524</wp:posOffset>
          </wp:positionV>
          <wp:extent cx="2571750" cy="6858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7175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ABEB7" w14:textId="77777777" w:rsidR="00A22BA2" w:rsidRDefault="00A22BA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FF8"/>
    <w:rsid w:val="00233789"/>
    <w:rsid w:val="00376B54"/>
    <w:rsid w:val="003F79FC"/>
    <w:rsid w:val="004208E5"/>
    <w:rsid w:val="00577948"/>
    <w:rsid w:val="00597B11"/>
    <w:rsid w:val="00734FF8"/>
    <w:rsid w:val="007C1DBB"/>
    <w:rsid w:val="0097154C"/>
    <w:rsid w:val="00A22BA2"/>
    <w:rsid w:val="00BA3311"/>
    <w:rsid w:val="00C33BA3"/>
    <w:rsid w:val="00D00831"/>
    <w:rsid w:val="00EC624F"/>
    <w:rsid w:val="00EE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9A7CE0"/>
  <w15:docId w15:val="{054C55D4-A07A-40BF-9D89-0B695541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76B54"/>
    <w:pPr>
      <w:keepNext/>
      <w:pBdr>
        <w:bottom w:val="single" w:sz="4" w:space="4" w:color="BFBFBF"/>
      </w:pBdr>
      <w:spacing w:before="360" w:after="140" w:line="276" w:lineRule="auto"/>
      <w:ind w:firstLine="0"/>
      <w:jc w:val="left"/>
      <w:outlineLvl w:val="0"/>
    </w:pPr>
    <w:rPr>
      <w:rFonts w:eastAsia="Calibri"/>
      <w:b/>
      <w:sz w:val="24"/>
      <w:lang w:eastAsia="en-US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97154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7154C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97154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154C"/>
    <w:rPr>
      <w:lang w:val="pt-BR"/>
    </w:rPr>
  </w:style>
  <w:style w:type="character" w:customStyle="1" w:styleId="Ttulo1Char">
    <w:name w:val="Título 1 Char"/>
    <w:basedOn w:val="Fontepargpadro"/>
    <w:link w:val="Ttulo1"/>
    <w:uiPriority w:val="9"/>
    <w:rsid w:val="00376B54"/>
    <w:rPr>
      <w:rFonts w:eastAsia="Calibri"/>
      <w:b/>
      <w:sz w:val="24"/>
      <w:lang w:val="pt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2239</Words>
  <Characters>12096</Characters>
  <Application>Microsoft Office Word</Application>
  <DocSecurity>1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André Peres Barbieri</cp:lastModifiedBy>
  <cp:revision>7</cp:revision>
  <dcterms:created xsi:type="dcterms:W3CDTF">2026-09-24T18:05:00Z</dcterms:created>
  <dcterms:modified xsi:type="dcterms:W3CDTF">2026-09-30T17:44:00Z</dcterms:modified>
  <dc:creator>André Peres Barbieri</dc:creator>
  <dc:title>Proposta de seminário</dc:title>
  <dc:description/>
</cp:coreProperties>
</file>