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  <w:spacing w:after="0"/>
        <w:ind w:firstLine="0"/>
        <w:jc w:val="center"/>
      </w:pPr>
      <w:r>
        <w:t xml:space="preserve">Material de referência</w:t>
      </w:r>
    </w:p>
    <w:p>
      <w:pPr>
        <w:pStyle w:val="Ttulo"/>
        <w:spacing w:after="0"/>
        <w:ind w:firstLine="0"/>
        <w:jc w:val="center"/>
      </w:pPr>
      <w:r>
        <w:t xml:space="preserve">Neuropsicologia II</w:t>
      </w:r>
    </w:p>
    <w:p>
      <w:pPr>
        <w:spacing w:after="120"/>
        <w:ind w:firstLine="0"/>
        <w:jc w:val="center"/>
      </w:pPr>
      <w:r>
        <w:t xml:space="preserve">Estudo de caso · Plano de reabilitação neuropsicológica · Meu Pai (2020)</w:t>
      </w:r>
    </w:p>
    <w:p>
      <w:pPr>
        <w:spacing w:before="120" w:after="120"/>
        <w:ind w:firstLine="0"/>
      </w:pPr>
      <w:r>
        <w:rPr>
          <w:b/>
          <w:bCs/>
        </w:rPr>
        <w:t xml:space="preserve">Prof.:</w:t>
      </w:r>
      <w:r>
        <w:t xml:space="preserve"> Esp. André Peres Barbieri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Antes de começar</w:t>
      </w:r>
    </w:p>
    <w:p>
      <w:pPr>
        <w:spacing w:after="120"/>
        <w:ind w:firstLine="0"/>
      </w:pPr>
      <w:r>
        <w:t xml:space="preserve">O filme é contado do ponto de vista de Anthony: rostos, nomes, cômodos e a ordem dos dias mudam para o espectador também. Isso é o que torna o filme útil — e o que exige cuidado. Uma cena confusa não é erro de montagem: é o mundo como Anthony o vive. Anotem o que ele faz, o que diz e como os outros reagem, e não só o que "realmente" aconteceu.</w:t>
      </w:r>
    </w:p>
    <w:p>
      <w:pPr>
        <w:spacing w:after="120"/>
        <w:ind w:firstLine="0"/>
      </w:pPr>
      <w:r>
        <w:t xml:space="preserve">O filme não diz o diagnóstico nem mostra exames. O perfil que o grupo descrever é hipótese, e o plano precisa dizer como ela seria confirmada.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Guia de observação por domínio</w:t>
      </w:r>
    </w:p>
    <w:tbl>
      <w:tblPr>
        <w:tblStyle w:val="a"/>
        <w:tblW w:w="902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00"/>
        <w:gridCol w:w="3300"/>
        <w:gridCol w:w="3826"/>
      </w:tblGrid>
      <w:tr>
        <w:trPr>
          <w:cantSplit/>
        </w:trPr>
        <w:tc>
          <w:tcPr>
            <w:tcW w:w="19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Domínio</w:t>
            </w:r>
          </w:p>
        </w:tc>
        <w:tc>
          <w:tcPr>
            <w:tcW w:w="3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 que observar</w:t>
            </w:r>
          </w:p>
        </w:tc>
        <w:tc>
          <w:tcPr>
            <w:tcW w:w="3826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Cenas para rever</w:t>
            </w:r>
          </w:p>
        </w:tc>
      </w:tr>
      <w:tr>
        <w:trPr>
          <w:cantSplit/>
        </w:trPr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18"/>
                <w:szCs w:val="18"/>
              </w:rPr>
              <w:t xml:space="preserve">Orientação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18"/>
                <w:szCs w:val="18"/>
              </w:rPr>
              <w:t xml:space="preserve">tempo, lugar e situação; de quem é o apartamento</w:t>
            </w:r>
          </w:p>
        </w:tc>
        <w:tc>
          <w:tcPr>
            <w:tcW w:w="38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18"/>
                <w:szCs w:val="18"/>
              </w:rPr>
              <w:t xml:space="preserve">as cenas em que ele afirma que o apartamento é dele; a mudança de mobília entre as cenas</w:t>
            </w:r>
          </w:p>
        </w:tc>
      </w:tr>
      <w:tr>
        <w:trPr>
          <w:cantSplit/>
        </w:trPr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18"/>
                <w:szCs w:val="18"/>
              </w:rPr>
              <w:t xml:space="preserve">Memória episódica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18"/>
                <w:szCs w:val="18"/>
              </w:rPr>
              <w:t xml:space="preserve">o que ele lembra do dia, das visitas, da partida de Anne</w:t>
            </w:r>
          </w:p>
        </w:tc>
        <w:tc>
          <w:tcPr>
            <w:tcW w:w="38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18"/>
                <w:szCs w:val="18"/>
              </w:rPr>
              <w:t xml:space="preserve">a conversa em que Anne conta que vai morar em Paris, e as vezes em que ele a "descobre" de novo</w:t>
            </w:r>
          </w:p>
        </w:tc>
      </w:tr>
      <w:tr>
        <w:trPr>
          <w:cantSplit/>
        </w:trPr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18"/>
                <w:szCs w:val="18"/>
              </w:rPr>
              <w:t xml:space="preserve">Reconhecimento de pessoas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18"/>
                <w:szCs w:val="18"/>
              </w:rPr>
              <w:t xml:space="preserve">quem ele reconhece e quem confunde</w:t>
            </w:r>
          </w:p>
        </w:tc>
        <w:tc>
          <w:tcPr>
            <w:tcW w:w="38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18"/>
                <w:szCs w:val="18"/>
              </w:rPr>
              <w:t xml:space="preserve">o homem desconhecido na sala que diz ser marido de Anne; a mulher que diz ser Anne</w:t>
            </w:r>
          </w:p>
        </w:tc>
      </w:tr>
      <w:tr>
        <w:trPr>
          <w:cantSplit/>
        </w:trPr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18"/>
                <w:szCs w:val="18"/>
              </w:rPr>
              <w:t xml:space="preserve">Funções executivas e julgamento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18"/>
                <w:szCs w:val="18"/>
              </w:rPr>
              <w:t xml:space="preserve">planejamento, crítica, recusa de ajuda</w:t>
            </w:r>
          </w:p>
        </w:tc>
        <w:tc>
          <w:tcPr>
            <w:tcW w:w="38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18"/>
                <w:szCs w:val="18"/>
              </w:rPr>
              <w:t xml:space="preserve">a recusa das cuidadoras; a explicação sobre o relógio escondido</w:t>
            </w:r>
          </w:p>
        </w:tc>
      </w:tr>
      <w:tr>
        <w:trPr>
          <w:cantSplit/>
        </w:trPr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18"/>
                <w:szCs w:val="18"/>
              </w:rPr>
              <w:t xml:space="preserve">Linguagem e discurso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18"/>
                <w:szCs w:val="18"/>
              </w:rPr>
              <w:t xml:space="preserve">fluência, perda do fio, histórias repetidas</w:t>
            </w:r>
          </w:p>
        </w:tc>
        <w:tc>
          <w:tcPr>
            <w:tcW w:w="38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18"/>
                <w:szCs w:val="18"/>
              </w:rPr>
              <w:t xml:space="preserve">a entrevista com a nova cuidadora, Laura</w:t>
            </w:r>
          </w:p>
        </w:tc>
      </w:tr>
      <w:tr>
        <w:trPr>
          <w:cantSplit/>
        </w:trPr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18"/>
                <w:szCs w:val="18"/>
              </w:rPr>
              <w:t xml:space="preserve">Humor e comportamento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18"/>
                <w:szCs w:val="18"/>
              </w:rPr>
              <w:t xml:space="preserve">desconfiança, acusações, irritabilidade, charme, choro</w:t>
            </w:r>
          </w:p>
        </w:tc>
        <w:tc>
          <w:tcPr>
            <w:tcW w:w="38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18"/>
                <w:szCs w:val="18"/>
              </w:rPr>
              <w:t xml:space="preserve">a acusação de roubo do relógio; a mudança brusca de humor com Laura; o choro na cena final</w:t>
            </w:r>
          </w:p>
        </w:tc>
      </w:tr>
      <w:tr>
        <w:trPr>
          <w:cantSplit/>
        </w:trPr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18"/>
                <w:szCs w:val="18"/>
              </w:rPr>
              <w:t xml:space="preserve">Funcionalidade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18"/>
                <w:szCs w:val="18"/>
              </w:rPr>
              <w:t xml:space="preserve">autocuidado, medicação, casa</w:t>
            </w:r>
          </w:p>
        </w:tc>
        <w:tc>
          <w:tcPr>
            <w:tcW w:w="38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18"/>
                <w:szCs w:val="18"/>
              </w:rPr>
              <w:t xml:space="preserve">a rotina dos remédios; quem prepara as refeições</w:t>
            </w:r>
          </w:p>
        </w:tc>
      </w:tr>
      <w:tr>
        <w:trPr>
          <w:cantSplit/>
        </w:trPr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18"/>
                <w:szCs w:val="18"/>
              </w:rPr>
              <w:t xml:space="preserve">Família e cuidadores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18"/>
                <w:szCs w:val="18"/>
              </w:rPr>
              <w:t xml:space="preserve">sobrecarga, conflito, culpa, decisão de moradia</w:t>
            </w:r>
          </w:p>
        </w:tc>
        <w:tc>
          <w:tcPr>
            <w:tcW w:w="38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18"/>
                <w:szCs w:val="18"/>
              </w:rPr>
              <w:t xml:space="preserve">as conversas de Anne com o marido; a ida para a instituição</w:t>
            </w:r>
          </w:p>
        </w:tc>
      </w:tr>
      <w:tr>
        <w:trPr>
          <w:cantSplit/>
        </w:trPr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18"/>
                <w:szCs w:val="18"/>
              </w:rPr>
              <w:t xml:space="preserve">Identidade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18"/>
                <w:szCs w:val="18"/>
              </w:rPr>
              <w:t xml:space="preserve">o que ele perde de si</w:t>
            </w:r>
          </w:p>
        </w:tc>
        <w:tc>
          <w:tcPr>
            <w:tcW w:w="38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18"/>
                <w:szCs w:val="18"/>
              </w:rPr>
              <w:t xml:space="preserve">as perguntas sobre Lucy, a filha mais nova; o pedido pela mãe no final</w:t>
            </w:r>
          </w:p>
        </w:tc>
      </w:tr>
    </w:tbl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Perguntas para a formulação</w:t>
      </w:r>
    </w:p>
    <w:p>
      <w:pPr>
        <w:spacing w:after="80"/>
        <w:ind w:left="567" w:hanging="340"/>
      </w:pPr>
      <w:r>
        <w:t xml:space="preserve">•  O que dispara as acusações e as explosões de Anthony? O que as acalma?</w:t>
      </w:r>
    </w:p>
    <w:p>
      <w:pPr>
        <w:spacing w:after="80"/>
        <w:ind w:left="567" w:hanging="340"/>
      </w:pPr>
      <w:r>
        <w:t xml:space="preserve">•  O que acontece quando alguém o corrige? E quando alguém entra na versão dele?</w:t>
      </w:r>
    </w:p>
    <w:p>
      <w:pPr>
        <w:spacing w:after="80"/>
        <w:ind w:left="567" w:hanging="340"/>
      </w:pPr>
      <w:r>
        <w:t xml:space="preserve">•  Que forças ele preserva (vínculos, hábitos, gostos, charme, música) e que podem ser usadas no plano?</w:t>
      </w:r>
    </w:p>
    <w:p>
      <w:pPr>
        <w:spacing w:after="80"/>
        <w:ind w:left="567" w:hanging="340"/>
      </w:pPr>
      <w:r>
        <w:t xml:space="preserve">•  Que metas seriam dele, e que metas seriam de Anne? Onde elas conflitam?</w:t>
      </w:r>
    </w:p>
    <w:p>
      <w:pPr>
        <w:spacing w:after="80"/>
        <w:ind w:left="567" w:hanging="340"/>
      </w:pPr>
      <w:r>
        <w:t xml:space="preserve">•  O que muda no plano depois da ida para a instituição?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Princípios para o plano em doença progressiva</w:t>
      </w:r>
    </w:p>
    <w:p>
      <w:pPr>
        <w:spacing w:after="80"/>
        <w:ind w:left="567" w:hanging="340"/>
      </w:pPr>
      <w:r>
        <w:t xml:space="preserve">•  A meta é manter a funcionalidade e a qualidade de vida pelo maior tempo possível, não restaurar a memória.</w:t>
      </w:r>
    </w:p>
    <w:p>
      <w:pPr>
        <w:spacing w:after="80"/>
        <w:ind w:left="567" w:hanging="340"/>
      </w:pPr>
      <w:r>
        <w:t xml:space="preserve">•  Adaptação do ambiente e rotina estável reduzem a desorientação: objetos no mesmo lugar, pistas visuais, poucas mudanças.</w:t>
      </w:r>
    </w:p>
    <w:p>
      <w:pPr>
        <w:spacing w:after="80"/>
        <w:ind w:left="567" w:hanging="340"/>
      </w:pPr>
      <w:r>
        <w:t xml:space="preserve">•  Técnicas de aprendizagem com evidência na demência leve a moderada: aprendizagem sem erro, recuperação espaçada, desvanecimento de pistas e auxílios externos com uso treinado.</w:t>
      </w:r>
    </w:p>
    <w:p>
      <w:pPr>
        <w:spacing w:after="80"/>
        <w:ind w:left="567" w:hanging="340"/>
      </w:pPr>
      <w:r>
        <w:t xml:space="preserve">•  Manejo dos sintomas comportamentais começa pela análise do gatilho e pela orientação ao cuidador, antes de qualquer medicação.</w:t>
      </w:r>
    </w:p>
    <w:p>
      <w:pPr>
        <w:spacing w:after="80"/>
        <w:ind w:left="567" w:hanging="340"/>
      </w:pPr>
      <w:r>
        <w:t xml:space="preserve">•  Comunicação: frases curtas, uma ideia por vez, validar a emoção, evitar o confronto e a correção insistente.</w:t>
      </w:r>
    </w:p>
    <w:p>
      <w:pPr>
        <w:spacing w:after="80"/>
        <w:ind w:left="567" w:hanging="340"/>
      </w:pPr>
      <w:r>
        <w:t xml:space="preserve">•  A cuidadora principal é parte do plano: psicoeducação, rede de apoio e atenção à sobrecarga.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Modelo de tabela do plano</w:t>
      </w:r>
    </w:p>
    <w:p>
      <w:pPr>
        <w:spacing w:after="120"/>
        <w:ind w:firstLine="0"/>
      </w:pPr>
      <w:r>
        <w:t xml:space="preserve">Uma linha por meta. Exemplo preenchido com um caso fictício, não com Anthony:</w:t>
      </w:r>
    </w:p>
    <w:tbl>
      <w:tblPr>
        <w:tblStyle w:val="a"/>
        <w:tblW w:w="902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2000"/>
        <w:gridCol w:w="1700"/>
        <w:gridCol w:w="1300"/>
        <w:gridCol w:w="1626"/>
      </w:tblGrid>
      <w:tr>
        <w:trPr>
          <w:cantSplit/>
        </w:trPr>
        <w:tc>
          <w:tcPr>
            <w:tcW w:w="24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Meta SMART</w:t>
            </w:r>
          </w:p>
        </w:tc>
        <w:tc>
          <w:tcPr>
            <w:tcW w:w="20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Técnica</w:t>
            </w:r>
          </w:p>
        </w:tc>
        <w:tc>
          <w:tcPr>
            <w:tcW w:w="17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Quem</w:t>
            </w:r>
          </w:p>
        </w:tc>
        <w:tc>
          <w:tcPr>
            <w:tcW w:w="1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Frequência</w:t>
            </w:r>
          </w:p>
        </w:tc>
        <w:tc>
          <w:tcPr>
            <w:tcW w:w="1626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Medida (GAS)</w:t>
            </w:r>
          </w:p>
        </w:tc>
      </w:tr>
      <w:tr>
        <w:trPr>
          <w:cantSplit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18"/>
                <w:szCs w:val="18"/>
              </w:rPr>
              <w:t xml:space="preserve">Em 8 semanas, tomar os 3 remédios sem lembrete em 6 de 7 dias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18"/>
                <w:szCs w:val="18"/>
              </w:rPr>
              <w:t xml:space="preserve">caixa organizadora com alarme; aprendizagem sem erro do uso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18"/>
                <w:szCs w:val="18"/>
              </w:rPr>
              <w:t xml:space="preserve">neuropsicólogo treina; filha acompanha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18"/>
                <w:szCs w:val="18"/>
              </w:rPr>
              <w:t xml:space="preserve">sessão semanal; uso diário</w:t>
            </w:r>
          </w:p>
        </w:tc>
        <w:tc>
          <w:tcPr>
            <w:tcW w:w="16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18"/>
                <w:szCs w:val="18"/>
              </w:rPr>
              <w:t xml:space="preserve">registro de doses; −2 a +2</w:t>
            </w:r>
          </w:p>
        </w:tc>
      </w:tr>
      <w:tr>
        <w:trPr>
          <w:cantSplit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</w:p>
        </w:tc>
        <w:tc>
          <w:tcPr>
            <w:tcW w:w="16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</w:p>
        </w:tc>
      </w:tr>
      <w:tr>
        <w:trPr>
          <w:cantSplit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</w:p>
        </w:tc>
        <w:tc>
          <w:tcPr>
            <w:tcW w:w="16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</w:p>
        </w:tc>
      </w:tr>
    </w:tbl>
    <w:p>
      <w:pPr>
        <w:spacing w:after="0"/>
        <w:ind w:firstLine="0"/>
      </w:pPr>
    </w:p>
    <w:p>
      <w:pPr>
        <w:spacing w:after="120"/>
        <w:ind w:firstLine="0"/>
      </w:pPr>
      <w:r>
        <w:t xml:space="preserve">Escala GAS combinada antes de começar: −2 pior que o início; −1 nível inicial; 0 meta esperada; +1 melhor que o esperado; +2 muito melhor que o esperado.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Bibliografia de partida</w:t>
      </w:r>
    </w:p>
    <w:p>
      <w:pPr>
        <w:spacing w:after="80"/>
        <w:ind w:left="567" w:hanging="340"/>
      </w:pPr>
      <w:r>
        <w:t xml:space="preserve">WILSON, B. A. Neuropsychological rehabilitation. Annual Review of Clinical Psychology, v. 4, p. 141-162, 2008.</w:t>
      </w:r>
    </w:p>
    <w:p>
      <w:pPr>
        <w:spacing w:after="80"/>
        <w:ind w:left="567" w:hanging="340"/>
      </w:pPr>
      <w:r>
        <w:t xml:space="preserve">CLARE, L. et al. Goal-oriented cognitive rehabilitation for early-stage Alzheimer's and related dementias: the GREAT trial. Alzheimer's &amp; Dementia, v. 15, n. 1, p. 108-120, 2019.</w:t>
      </w:r>
    </w:p>
    <w:p>
      <w:pPr>
        <w:spacing w:after="80"/>
        <w:ind w:left="567" w:hanging="340"/>
      </w:pPr>
      <w:r>
        <w:t xml:space="preserve">BRODATY, H.; ARASARATNAM, C. Meta-analysis of nonpharmacological interventions for neuropsychiatric symptoms of dementia. American Journal of Psychiatry, v. 169, n. 9, p. 946-953, 2012.</w:t>
      </w:r>
    </w:p>
    <w:p>
      <w:pPr>
        <w:spacing w:after="80"/>
        <w:ind w:left="567" w:hanging="340"/>
      </w:pPr>
      <w:r>
        <w:t xml:space="preserve">LIVINGSTON, G. et al. Dementia prevention, intervention, and care: 2020 report of the Lancet Commission. The Lancet, v. 396, n. 10248, p. 413-446, 2020.</w:t>
      </w:r>
    </w:p>
    <w:p>
      <w:pPr>
        <w:spacing w:after="80"/>
        <w:ind w:left="567" w:hanging="340"/>
      </w:pPr>
      <w:r>
        <w:t xml:space="preserve">TURNER-STOKES, L. Goal attainment scaling (GAS) in rehabilitation: a practical guide. Clinical Rehabilitation, v. 23, n. 4, p. 362-370, 2009.</w:t>
      </w:r>
    </w:p>
    <w:p>
      <w:pPr>
        <w:spacing w:after="80"/>
        <w:ind w:left="567" w:hanging="340"/>
      </w:pPr>
      <w:r>
        <w:t xml:space="preserve">ABRISQUETA-GOMEZ, J. (org.). Reabilitação neuropsicológica: abordagem interdisciplinar e modelos conceituais na prática clínica. Porto Alegre: Artmed, 2012.</w:t>
      </w:r>
    </w:p>
    <w:p>
      <w:pPr>
        <w:spacing w:after="80"/>
        <w:ind w:left="567" w:hanging="340"/>
      </w:pPr>
      <w:r>
        <w:t xml:space="preserve">KITWOOD, T. Dementia reconsidered: the person comes first. Buckingham: Open University Press, 1997.</w:t>
      </w:r>
    </w:p>
    <w:sectPr w:rsidR="00734FF8" w:rsidRPr="00376B54" w:rsidSect="004208E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440" w:right="1440" w:bottom="1440" w:left="1440" w:header="1417" w:footer="45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9B2B8" w14:textId="77777777" w:rsidR="00EC624F" w:rsidRPr="0097154C" w:rsidRDefault="00EC624F">
      <w:pPr>
        <w:spacing w:line="240" w:lineRule="auto"/>
      </w:pPr>
      <w:r w:rsidRPr="0097154C">
        <w:separator/>
      </w:r>
    </w:p>
  </w:endnote>
  <w:endnote w:type="continuationSeparator" w:id="0">
    <w:p w14:paraId="10916CAF" w14:textId="77777777" w:rsidR="00EC624F" w:rsidRPr="0097154C" w:rsidRDefault="00EC624F">
      <w:pPr>
        <w:spacing w:line="240" w:lineRule="auto"/>
      </w:pPr>
      <w:r w:rsidRPr="0097154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66CC6C6-A7F2-4663-A979-4B2E838502C9}"/>
    <w:embedBold r:id="rId2" w:fontKey="{B4CA3ED9-026E-479F-8C5C-283000E6293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4338CF2-B788-4D51-BA0F-1EA17FBD237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E9D17" w14:textId="77777777" w:rsidR="00A22BA2" w:rsidRDefault="00A22BA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1578D" w14:textId="0BFC6AC6" w:rsidR="0097154C" w:rsidRDefault="0097154C" w:rsidP="0097154C">
    <w:pPr>
      <w:pStyle w:val="Rodap"/>
      <w:jc w:val="center"/>
    </w:pPr>
    <w:r w:rsidRPr="0097154C">
      <w:t xml:space="preserve">R. Cachoeira </w:t>
    </w:r>
    <w:proofErr w:type="spellStart"/>
    <w:r w:rsidRPr="0097154C">
      <w:t>Utupanema</w:t>
    </w:r>
    <w:proofErr w:type="spellEnd"/>
    <w:r w:rsidRPr="0097154C">
      <w:t>, 40 – Vila Carmosina, São Paulo – SP, 08270-140 – Telefone: (11) 2217-9110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27C91" w14:textId="77777777" w:rsidR="00A22BA2" w:rsidRDefault="00A22BA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FA658" w14:textId="77777777" w:rsidR="00EC624F" w:rsidRPr="0097154C" w:rsidRDefault="00EC624F">
      <w:pPr>
        <w:spacing w:line="240" w:lineRule="auto"/>
      </w:pPr>
      <w:r w:rsidRPr="0097154C">
        <w:separator/>
      </w:r>
    </w:p>
  </w:footnote>
  <w:footnote w:type="continuationSeparator" w:id="0">
    <w:p w14:paraId="1C6B4122" w14:textId="77777777" w:rsidR="00EC624F" w:rsidRPr="0097154C" w:rsidRDefault="00EC624F">
      <w:pPr>
        <w:spacing w:line="240" w:lineRule="auto"/>
      </w:pPr>
      <w:r w:rsidRPr="0097154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2F6DA" w14:textId="77777777" w:rsidR="00A22BA2" w:rsidRDefault="00A22BA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C577" w14:textId="77777777" w:rsidR="00734FF8" w:rsidRPr="0097154C" w:rsidRDefault="00000000" w:rsidP="004208E5">
    <w:pPr>
      <w:ind w:firstLine="0"/>
    </w:pPr>
    <w:r w:rsidRPr="0097154C">
      <w:rPr>
        <w:noProof/>
      </w:rPr>
      <w:drawing>
        <wp:anchor distT="114300" distB="114300" distL="114300" distR="114300" simplePos="0" relativeHeight="251658240" behindDoc="0" locked="0" layoutInCell="1" hidden="0" allowOverlap="1" wp14:anchorId="63181BBF" wp14:editId="2EED61C7">
          <wp:simplePos x="0" y="0"/>
          <wp:positionH relativeFrom="column">
            <wp:posOffset>-628649</wp:posOffset>
          </wp:positionH>
          <wp:positionV relativeFrom="paragraph">
            <wp:posOffset>-771524</wp:posOffset>
          </wp:positionV>
          <wp:extent cx="2571750" cy="68580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7175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ABEB7" w14:textId="77777777" w:rsidR="00A22BA2" w:rsidRDefault="00A22BA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FF8"/>
    <w:rsid w:val="00233789"/>
    <w:rsid w:val="00376B54"/>
    <w:rsid w:val="003F79FC"/>
    <w:rsid w:val="004208E5"/>
    <w:rsid w:val="00577948"/>
    <w:rsid w:val="00597B11"/>
    <w:rsid w:val="00734FF8"/>
    <w:rsid w:val="007C1DBB"/>
    <w:rsid w:val="0097154C"/>
    <w:rsid w:val="00A22BA2"/>
    <w:rsid w:val="00BA3311"/>
    <w:rsid w:val="00C33BA3"/>
    <w:rsid w:val="00D00831"/>
    <w:rsid w:val="00EC624F"/>
    <w:rsid w:val="00EE6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9A7CE0"/>
  <w15:docId w15:val="{054C55D4-A07A-40BF-9D89-0B695541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360" w:lineRule="auto"/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376B54"/>
    <w:pPr>
      <w:keepNext/>
      <w:pBdr>
        <w:bottom w:val="single" w:sz="4" w:space="4" w:color="BFBFBF"/>
      </w:pBdr>
      <w:spacing w:before="360" w:after="140" w:line="276" w:lineRule="auto"/>
      <w:ind w:firstLine="0"/>
      <w:jc w:val="left"/>
      <w:outlineLvl w:val="0"/>
    </w:pPr>
    <w:rPr>
      <w:rFonts w:eastAsia="Calibri"/>
      <w:b/>
      <w:sz w:val="24"/>
      <w:lang w:eastAsia="en-US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97154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7154C"/>
    <w:rPr>
      <w:lang w:val="pt-BR"/>
    </w:rPr>
  </w:style>
  <w:style w:type="paragraph" w:styleId="Rodap">
    <w:name w:val="footer"/>
    <w:basedOn w:val="Normal"/>
    <w:link w:val="RodapChar"/>
    <w:uiPriority w:val="99"/>
    <w:unhideWhenUsed/>
    <w:rsid w:val="0097154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7154C"/>
    <w:rPr>
      <w:lang w:val="pt-BR"/>
    </w:rPr>
  </w:style>
  <w:style w:type="character" w:customStyle="1" w:styleId="Ttulo1Char">
    <w:name w:val="Título 1 Char"/>
    <w:basedOn w:val="Fontepargpadro"/>
    <w:link w:val="Ttulo1"/>
    <w:uiPriority w:val="9"/>
    <w:rsid w:val="00376B54"/>
    <w:rPr>
      <w:rFonts w:eastAsia="Calibri"/>
      <w:b/>
      <w:sz w:val="24"/>
      <w:lang w:val="pt-B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2239</Words>
  <Characters>12096</Characters>
  <Application>Microsoft Office Word</Application>
  <DocSecurity>1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André Peres Barbieri</cp:lastModifiedBy>
  <cp:revision>7</cp:revision>
  <dcterms:created xsi:type="dcterms:W3CDTF">2026-09-24T18:05:00Z</dcterms:created>
  <dcterms:modified xsi:type="dcterms:W3CDTF">2026-09-30T17:44:00Z</dcterms:modified>
  <dc:creator>André Peres Barbieri</dc:creator>
  <dc:title>Material de referência — Meu Pai</dc:title>
  <dc:description/>
</cp:coreProperties>
</file>