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spacing w:after="0"/>
        <w:ind w:firstLine="0"/>
        <w:jc w:val="center"/>
      </w:pPr>
      <w:r>
        <w:t xml:space="preserve">Material de referência</w:t>
      </w:r>
    </w:p>
    <w:p>
      <w:pPr>
        <w:pStyle w:val="Ttulo"/>
        <w:spacing w:after="0"/>
        <w:ind w:firstLine="0"/>
        <w:jc w:val="center"/>
      </w:pPr>
      <w:r>
        <w:t xml:space="preserve">Neuropsicologia II</w:t>
      </w:r>
    </w:p>
    <w:p>
      <w:pPr>
        <w:spacing w:after="120"/>
        <w:ind w:firstLine="0"/>
        <w:jc w:val="center"/>
      </w:pPr>
      <w:r>
        <w:t xml:space="preserve">Seminário · Neuropsicologia nos transtornos psiquiátricos</w:t>
      </w:r>
    </w:p>
    <w:p>
      <w:pPr>
        <w:spacing w:before="120" w:after="120"/>
        <w:ind w:firstLine="0"/>
      </w:pPr>
      <w:r>
        <w:rPr>
          <w:b/>
          <w:bCs/>
        </w:rPr>
        <w:t xml:space="preserve">Prof.:</w:t>
      </w:r>
      <w:r>
        <w:t xml:space="preserve"> Esp. André Peres Barbieri</w:t>
      </w:r>
    </w:p>
    <w:p>
      <w:pPr>
        <w:spacing w:after="120"/>
        <w:ind w:firstLine="0"/>
      </w:pPr>
      <w:r>
        <w:t xml:space="preserve">Ponto de partida para cada grupo: os domínios que a literatura mais estuda, os instrumentos que costumam aparecer e os cuidados de interpretação. Não é o roteiro da apresentação — é onde começar a ler. Confira sempre a situação dos instrumentos no site do SATEPSI.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Como montar a conclusão do laudo do caso</w:t>
      </w:r>
    </w:p>
    <w:p>
      <w:pPr>
        <w:spacing w:after="80"/>
        <w:ind w:left="340" w:hanging="340"/>
      </w:pPr>
      <w:r>
        <w:t xml:space="preserve">1. Retome a pergunta do encaminhamento.</w:t>
      </w:r>
    </w:p>
    <w:p>
      <w:pPr>
        <w:spacing w:after="80"/>
        <w:ind w:left="340" w:hanging="340"/>
      </w:pPr>
      <w:r>
        <w:t xml:space="preserve">2. Descreva o perfil por função: o que está preservado e o que está alterado, com a norma usada.</w:t>
      </w:r>
    </w:p>
    <w:p>
      <w:pPr>
        <w:spacing w:after="80"/>
        <w:ind w:left="340" w:hanging="340"/>
      </w:pPr>
      <w:r>
        <w:t xml:space="preserve">3. Ligue o perfil ao quadro, dizendo em que fase do transtorno a avaliação foi feita.</w:t>
      </w:r>
    </w:p>
    <w:p>
      <w:pPr>
        <w:spacing w:after="80"/>
        <w:ind w:left="340" w:hanging="340"/>
      </w:pPr>
      <w:r>
        <w:t xml:space="preserve">4. Traduza o achado para a rotina: estudo, trabalho, casa, relações.</w:t>
      </w:r>
    </w:p>
    <w:p>
      <w:pPr>
        <w:spacing w:after="80"/>
        <w:ind w:left="340" w:hanging="340"/>
      </w:pPr>
      <w:r>
        <w:t xml:space="preserve">5. Recomende: tratamento, reabilitação ou remediação, reavaliação.</w:t>
      </w: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Grupo 1 — Transtorno depressivo maior</w:t>
      </w:r>
    </w:p>
    <w:p>
      <w:pPr>
        <w:spacing w:after="80"/>
        <w:ind w:firstLine="0"/>
      </w:pPr>
      <w:r>
        <w:rPr>
          <w:b/>
          <w:bCs/>
        </w:rPr>
        <w:t xml:space="preserve">Apresentação:</w:t>
      </w:r>
      <w:r>
        <w:t xml:space="preserve"> S7 · 23/03</w:t>
      </w:r>
    </w:p>
    <w:p>
      <w:pPr>
        <w:spacing w:after="80"/>
        <w:ind w:firstLine="0"/>
      </w:pPr>
      <w:r>
        <w:rPr>
          <w:b/>
          <w:bCs/>
        </w:rPr>
        <w:t xml:space="preserve">Domínios mais estudados:</w:t>
      </w:r>
      <w:r>
        <w:t xml:space="preserve"> Velocidade de processamento, atenção sustentada, funções executivas (flexibilidade, planejamento) e memória com falha de evocação; viés de processamento negativo.</w:t>
      </w:r>
    </w:p>
    <w:p>
      <w:pPr>
        <w:spacing w:after="80"/>
        <w:ind w:firstLine="0"/>
      </w:pPr>
      <w:r>
        <w:rPr>
          <w:b/>
          <w:bCs/>
        </w:rPr>
        <w:t xml:space="preserve">Instrumentos que costumam aparecer:</w:t>
      </w:r>
      <w:r>
        <w:t xml:space="preserve"> Trilhas A e B, Códigos, RAVLT (com reconhecimento), fluência verbal, Stroop; escalas de humor (BDI-II, GDS no idoso).</w:t>
      </w:r>
    </w:p>
    <w:p>
      <w:pPr>
        <w:spacing w:after="80"/>
        <w:ind w:firstLine="0"/>
      </w:pPr>
      <w:r>
        <w:rPr>
          <w:b/>
          <w:bCs/>
        </w:rPr>
        <w:t xml:space="preserve">Pontos de atenção:</w:t>
      </w:r>
      <w:r>
        <w:t xml:space="preserve"> Estado × traço (o que persiste após a remissão); diagnóstico diferencial com TNC no idoso; efeito de medicação; esforço e engajamento na testagem.</w:t>
      </w:r>
    </w:p>
    <w:p>
      <w:pPr>
        <w:spacing w:after="60"/>
        <w:ind w:firstLine="0"/>
      </w:pPr>
      <w:r>
        <w:rPr>
          <w:b/>
          <w:bCs/>
        </w:rPr>
        <w:t xml:space="preserve">Bibliografia de partida:</w:t>
      </w:r>
    </w:p>
    <w:p>
      <w:pPr>
        <w:spacing w:after="80"/>
        <w:ind w:left="567" w:hanging="340"/>
      </w:pPr>
      <w:r>
        <w:t xml:space="preserve">ROCK, P. L. et al. Cognitive impairment in depression: a systematic review and meta-analysis. Psychological Medicine, v. 44, n. 10, p. 2029-2040, 2014.</w:t>
      </w:r>
    </w:p>
    <w:p>
      <w:pPr>
        <w:spacing w:after="80"/>
        <w:ind w:left="567" w:hanging="340"/>
      </w:pPr>
      <w:r>
        <w:t xml:space="preserve">SNYDER, H. R. Major depressive disorder is associated with broad impairments on neuropsychological measures of executive function: a meta-analysis and review. Psychological Bulletin, v. 139, n. 1, p. 81-132, 2013.</w:t>
      </w:r>
    </w:p>
    <w:p>
      <w:pPr>
        <w:pStyle w:val="Ttulo1"/>
        <w:keepNext/>
        <w:rPr>
          <w:sz w:val="22"/>
        </w:rPr>
      </w:pPr>
      <w:r>
        <w:rPr>
          <w:sz w:val="22"/>
        </w:rPr>
        <w:t xml:space="preserve">Grupo 2 — Transtorno bipolar</w:t>
      </w:r>
    </w:p>
    <w:p>
      <w:pPr>
        <w:spacing w:after="80"/>
        <w:ind w:firstLine="0"/>
      </w:pPr>
      <w:r>
        <w:rPr>
          <w:b/>
          <w:bCs/>
        </w:rPr>
        <w:t xml:space="preserve">Apresentação:</w:t>
      </w:r>
      <w:r>
        <w:t xml:space="preserve"> S7 · 23/03</w:t>
      </w:r>
    </w:p>
    <w:p>
      <w:pPr>
        <w:spacing w:after="80"/>
        <w:ind w:firstLine="0"/>
      </w:pPr>
      <w:r>
        <w:rPr>
          <w:b/>
          <w:bCs/>
        </w:rPr>
        <w:t xml:space="preserve">Domínios mais estudados:</w:t>
      </w:r>
      <w:r>
        <w:t xml:space="preserve"> Atenção, memória verbal e funções executivas, com déficits em eutimia; impulsividade na mania; lentificação na depressão bipolar.</w:t>
      </w:r>
    </w:p>
    <w:p>
      <w:pPr>
        <w:spacing w:after="80"/>
        <w:ind w:firstLine="0"/>
      </w:pPr>
      <w:r>
        <w:rPr>
          <w:b/>
          <w:bCs/>
        </w:rPr>
        <w:t xml:space="preserve">Instrumentos que costumam aparecer:</w:t>
      </w:r>
      <w:r>
        <w:t xml:space="preserve"> RAVLT, Dígitos, Trilhas, Wisconsin, Stroop; avaliação em eutimia sempre que possível.</w:t>
      </w:r>
    </w:p>
    <w:p>
      <w:pPr>
        <w:spacing w:after="80"/>
        <w:ind w:firstLine="0"/>
      </w:pPr>
      <w:r>
        <w:rPr>
          <w:b/>
          <w:bCs/>
        </w:rPr>
        <w:t xml:space="preserve">Pontos de atenção:</w:t>
      </w:r>
      <w:r>
        <w:t xml:space="preserve"> Em que fase a avaliação foi feita; número de episódios e internações; efeito do lítio e de outros estabilizadores; funcionalidade.</w:t>
      </w:r>
    </w:p>
    <w:p>
      <w:pPr>
        <w:spacing w:after="60"/>
        <w:ind w:firstLine="0"/>
      </w:pPr>
      <w:r>
        <w:rPr>
          <w:b/>
          <w:bCs/>
        </w:rPr>
        <w:t xml:space="preserve">Bibliografia de partida:</w:t>
      </w:r>
    </w:p>
    <w:p>
      <w:pPr>
        <w:spacing w:after="80"/>
        <w:ind w:left="567" w:hanging="340"/>
      </w:pPr>
      <w:r>
        <w:t xml:space="preserve">BOURNE, C. et al. Neuropsychological testing of cognitive impairment in euthymic bipolar disorder: an individual patient data meta-analysis. Acta Psychiatrica Scandinavica, v. 128, n. 3, p. 149-162, 2013.</w:t>
      </w:r>
    </w:p>
    <w:p>
      <w:pPr>
        <w:spacing w:after="80"/>
        <w:ind w:left="567" w:hanging="340"/>
      </w:pPr>
      <w:r>
        <w:t xml:space="preserve">BORA, E.; YÜCEL, M.; PANTELIS, C. Cognitive endophenotypes of bipolar disorder: a meta-analysis of neuropsychological deficits in euthymic patients and their first-degree relatives. Journal of Affective Disorders, v. 113, n. 1-2, p. 1-20, 2009.</w:t>
      </w:r>
    </w:p>
    <w:p>
      <w:pPr>
        <w:pStyle w:val="Ttulo1"/>
        <w:keepNext/>
        <w:rPr>
          <w:sz w:val="22"/>
        </w:rPr>
      </w:pPr>
      <w:r>
        <w:rPr>
          <w:sz w:val="22"/>
        </w:rPr>
        <w:t xml:space="preserve">Grupo 3 — Esquizofrenia</w:t>
      </w:r>
    </w:p>
    <w:p>
      <w:pPr>
        <w:spacing w:after="80"/>
        <w:ind w:firstLine="0"/>
      </w:pPr>
      <w:r>
        <w:rPr>
          <w:b/>
          <w:bCs/>
        </w:rPr>
        <w:t xml:space="preserve">Apresentação:</w:t>
      </w:r>
      <w:r>
        <w:t xml:space="preserve"> S7 · 23/03</w:t>
      </w:r>
    </w:p>
    <w:p>
      <w:pPr>
        <w:spacing w:after="80"/>
        <w:ind w:firstLine="0"/>
      </w:pPr>
      <w:r>
        <w:rPr>
          <w:b/>
          <w:bCs/>
        </w:rPr>
        <w:t xml:space="preserve">Domínios mais estudados:</w:t>
      </w:r>
      <w:r>
        <w:t xml:space="preserve"> Os sete domínios MATRICS: velocidade, atenção e vigilância, memória operacional, aprendizagem verbal e visual, raciocínio e resolução de problemas, cognição social.</w:t>
      </w:r>
    </w:p>
    <w:p>
      <w:pPr>
        <w:spacing w:after="80"/>
        <w:ind w:firstLine="0"/>
      </w:pPr>
      <w:r>
        <w:rPr>
          <w:b/>
          <w:bCs/>
        </w:rPr>
        <w:t xml:space="preserve">Instrumentos que costumam aparecer:</w:t>
      </w:r>
      <w:r>
        <w:t xml:space="preserve"> Bateria MATRICS (MCCB) como referência; tarefas de reconhecimento de emoções e de teoria da mente.</w:t>
      </w:r>
    </w:p>
    <w:p>
      <w:pPr>
        <w:spacing w:after="80"/>
        <w:ind w:firstLine="0"/>
      </w:pPr>
      <w:r>
        <w:rPr>
          <w:b/>
          <w:bCs/>
        </w:rPr>
        <w:t xml:space="preserve">Pontos de atenção:</w:t>
      </w:r>
      <w:r>
        <w:t xml:space="preserve"> Déficit como traço, presente no primeiro episódio; cognição como preditor de funcionalidade; efeito de antipsicóticos e anticolinérgicos; remediação cognitiva.</w:t>
      </w:r>
    </w:p>
    <w:p>
      <w:pPr>
        <w:spacing w:after="60"/>
        <w:ind w:firstLine="0"/>
      </w:pPr>
      <w:r>
        <w:rPr>
          <w:b/>
          <w:bCs/>
        </w:rPr>
        <w:t xml:space="preserve">Bibliografia de partida:</w:t>
      </w:r>
    </w:p>
    <w:p>
      <w:pPr>
        <w:spacing w:after="80"/>
        <w:ind w:left="567" w:hanging="340"/>
      </w:pPr>
      <w:r>
        <w:t xml:space="preserve">GREEN, M. F. et al. Neurocognitive deficits and functional outcome in schizophrenia: are we measuring the "right stuff"? Schizophrenia Bulletin, v. 26, n. 1, p. 119-136, 2000.</w:t>
      </w:r>
    </w:p>
    <w:p>
      <w:pPr>
        <w:spacing w:after="80"/>
        <w:ind w:left="567" w:hanging="340"/>
      </w:pPr>
      <w:r>
        <w:t xml:space="preserve">NUECHTERLEIN, K. H. et al. The MATRICS Consensus Cognitive Battery, part 1: test selection, reliability, and validity. American Journal of Psychiatry, v. 165, n. 2, p. 203-213, 2008.</w:t>
      </w:r>
    </w:p>
    <w:p>
      <w:pPr>
        <w:spacing w:after="80"/>
        <w:ind w:left="567" w:hanging="340"/>
      </w:pPr>
      <w:r>
        <w:t xml:space="preserve">FIORAVANTI, M. et al. Cognitive deficits in schizophrenia: an updated metanalysis of the scientific evidence. BMC Psychiatry, v. 12, art. 64, 2012.</w:t>
      </w:r>
    </w:p>
    <w:p>
      <w:pPr>
        <w:pStyle w:val="Ttulo1"/>
        <w:keepNext/>
        <w:rPr>
          <w:sz w:val="22"/>
        </w:rPr>
      </w:pPr>
      <w:r>
        <w:rPr>
          <w:sz w:val="22"/>
        </w:rPr>
        <w:t xml:space="preserve">Grupo 4 — Transtorno obsessivo-compulsivo</w:t>
      </w:r>
    </w:p>
    <w:p>
      <w:pPr>
        <w:spacing w:after="80"/>
        <w:ind w:firstLine="0"/>
      </w:pPr>
      <w:r>
        <w:rPr>
          <w:b/>
          <w:bCs/>
        </w:rPr>
        <w:t xml:space="preserve">Apresentação:</w:t>
      </w:r>
      <w:r>
        <w:t xml:space="preserve"> S7 · 23/03</w:t>
      </w:r>
    </w:p>
    <w:p>
      <w:pPr>
        <w:spacing w:after="80"/>
        <w:ind w:firstLine="0"/>
      </w:pPr>
      <w:r>
        <w:rPr>
          <w:b/>
          <w:bCs/>
        </w:rPr>
        <w:t xml:space="preserve">Domínios mais estudados:</w:t>
      </w:r>
      <w:r>
        <w:t xml:space="preserve"> Flexibilidade cognitiva, controle inibitório, planejamento, memória visual e organização (estratégia na cópia da Figura de Rey); confiança na memória.</w:t>
      </w:r>
    </w:p>
    <w:p>
      <w:pPr>
        <w:spacing w:after="80"/>
        <w:ind w:firstLine="0"/>
      </w:pPr>
      <w:r>
        <w:rPr>
          <w:b/>
          <w:bCs/>
        </w:rPr>
        <w:t xml:space="preserve">Instrumentos que costumam aparecer:</w:t>
      </w:r>
      <w:r>
        <w:t xml:space="preserve"> Figura de Rey (cópia e reprodução), Wisconsin, Stroop, Torre de Londres, Go/No-Go.</w:t>
      </w:r>
    </w:p>
    <w:p>
      <w:pPr>
        <w:spacing w:after="80"/>
        <w:ind w:firstLine="0"/>
      </w:pPr>
      <w:r>
        <w:rPr>
          <w:b/>
          <w:bCs/>
        </w:rPr>
        <w:t xml:space="preserve">Pontos de atenção:</w:t>
      </w:r>
      <w:r>
        <w:t xml:space="preserve"> Lentidão por checagem e perfeccionismo; diferença entre déficit de memória e falta de confiança na memória; comorbidade com depressão.</w:t>
      </w:r>
    </w:p>
    <w:p>
      <w:pPr>
        <w:spacing w:after="60"/>
        <w:ind w:firstLine="0"/>
      </w:pPr>
      <w:r>
        <w:rPr>
          <w:b/>
          <w:bCs/>
        </w:rPr>
        <w:t xml:space="preserve">Bibliografia de partida:</w:t>
      </w:r>
    </w:p>
    <w:p>
      <w:pPr>
        <w:spacing w:after="80"/>
        <w:ind w:left="567" w:hanging="340"/>
      </w:pPr>
      <w:r>
        <w:t xml:space="preserve">ABRAMOVITCH, A.; ABRAMOWITZ, J. S.; MITTELMAN, A. The neuropsychology of adult obsessive-compulsive disorder: a meta-analysis. Clinical Psychology Review, v. 33, n. 8, p. 1163-1171, 2013.</w:t>
      </w:r>
    </w:p>
    <w:p>
      <w:pPr>
        <w:spacing w:after="80"/>
        <w:ind w:left="567" w:hanging="340"/>
      </w:pPr>
      <w:r>
        <w:t xml:space="preserve">SNYDER, H. R. et al. Obsessive-compulsive disorder is associated with broad impairments in executive function: a meta-analysis. Clinical Psychological Science, v. 3, n. 2, p. 301-330, 2015.</w:t>
      </w:r>
    </w:p>
    <w:p>
      <w:pPr>
        <w:pStyle w:val="Ttulo1"/>
        <w:keepNext/>
        <w:rPr>
          <w:sz w:val="22"/>
        </w:rPr>
      </w:pPr>
      <w:r>
        <w:rPr>
          <w:sz w:val="22"/>
        </w:rPr>
        <w:t xml:space="preserve">Grupo 5 — Transtorno de estresse pós-traumático</w:t>
      </w:r>
    </w:p>
    <w:p>
      <w:pPr>
        <w:spacing w:after="80"/>
        <w:ind w:firstLine="0"/>
      </w:pPr>
      <w:r>
        <w:rPr>
          <w:b/>
          <w:bCs/>
        </w:rPr>
        <w:t xml:space="preserve">Apresentação:</w:t>
      </w:r>
      <w:r>
        <w:t xml:space="preserve"> S7 · 23/03</w:t>
      </w:r>
    </w:p>
    <w:p>
      <w:pPr>
        <w:spacing w:after="80"/>
        <w:ind w:firstLine="0"/>
      </w:pPr>
      <w:r>
        <w:rPr>
          <w:b/>
          <w:bCs/>
        </w:rPr>
        <w:t xml:space="preserve">Domínios mais estudados:</w:t>
      </w:r>
      <w:r>
        <w:t xml:space="preserve"> Atenção, memória verbal, velocidade e funções executivas; viés atencional para ameaça.</w:t>
      </w:r>
    </w:p>
    <w:p>
      <w:pPr>
        <w:spacing w:after="80"/>
        <w:ind w:firstLine="0"/>
      </w:pPr>
      <w:r>
        <w:rPr>
          <w:b/>
          <w:bCs/>
        </w:rPr>
        <w:t xml:space="preserve">Instrumentos que costumam aparecer:</w:t>
      </w:r>
      <w:r>
        <w:t xml:space="preserve"> RAVLT, Memória Lógica, Trilhas, Stroop emocional (pesquisa), escalas de TEPT.</w:t>
      </w:r>
    </w:p>
    <w:p>
      <w:pPr>
        <w:spacing w:after="80"/>
        <w:ind w:firstLine="0"/>
      </w:pPr>
      <w:r>
        <w:rPr>
          <w:b/>
          <w:bCs/>
        </w:rPr>
        <w:t xml:space="preserve">Pontos de atenção:</w:t>
      </w:r>
      <w:r>
        <w:t xml:space="preserve"> Sobreposição com TCE em vítimas de acidente e violência; uso de álcool; validade de desempenho em contexto pericial.</w:t>
      </w:r>
    </w:p>
    <w:p>
      <w:pPr>
        <w:spacing w:after="60"/>
        <w:ind w:firstLine="0"/>
      </w:pPr>
      <w:r>
        <w:rPr>
          <w:b/>
          <w:bCs/>
        </w:rPr>
        <w:t xml:space="preserve">Bibliografia de partida:</w:t>
      </w:r>
    </w:p>
    <w:p>
      <w:pPr>
        <w:spacing w:after="80"/>
        <w:ind w:left="567" w:hanging="340"/>
      </w:pPr>
      <w:r>
        <w:t xml:space="preserve">SCOTT, J. C. et al. A quantitative meta-analysis of neurocognitive functioning in posttraumatic stress disorder. Psychological Bulletin, v. 141, n. 1, p. 105-140, 2015.</w:t>
      </w:r>
    </w:p>
    <w:p>
      <w:pPr>
        <w:pStyle w:val="Ttulo1"/>
        <w:keepNext/>
        <w:rPr>
          <w:sz w:val="22"/>
        </w:rPr>
      </w:pPr>
      <w:r>
        <w:rPr>
          <w:sz w:val="22"/>
        </w:rPr>
        <w:t xml:space="preserve">Grupo 6 — Transtorno de ansiedade generalizada</w:t>
      </w:r>
    </w:p>
    <w:p>
      <w:pPr>
        <w:spacing w:after="80"/>
        <w:ind w:firstLine="0"/>
      </w:pPr>
      <w:r>
        <w:rPr>
          <w:b/>
          <w:bCs/>
        </w:rPr>
        <w:t xml:space="preserve">Apresentação:</w:t>
      </w:r>
      <w:r>
        <w:t xml:space="preserve"> S8 · 30/03</w:t>
      </w:r>
    </w:p>
    <w:p>
      <w:pPr>
        <w:spacing w:after="80"/>
        <w:ind w:firstLine="0"/>
      </w:pPr>
      <w:r>
        <w:rPr>
          <w:b/>
          <w:bCs/>
        </w:rPr>
        <w:t xml:space="preserve">Domínios mais estudados:</w:t>
      </w:r>
      <w:r>
        <w:t xml:space="preserve"> Controle atencional, memória operacional e atenção capturada pela preocupação; desempenho em tarefas sob pressão.</w:t>
      </w:r>
    </w:p>
    <w:p>
      <w:pPr>
        <w:spacing w:after="80"/>
        <w:ind w:firstLine="0"/>
      </w:pPr>
      <w:r>
        <w:rPr>
          <w:b/>
          <w:bCs/>
        </w:rPr>
        <w:t xml:space="preserve">Instrumentos que costumam aparecer:</w:t>
      </w:r>
      <w:r>
        <w:t xml:space="preserve"> Dígitos, Sequência de Letras e Números, testes de atenção (d2-R, TAVIS-4), escalas de ansiedade.</w:t>
      </w:r>
    </w:p>
    <w:p>
      <w:pPr>
        <w:spacing w:after="80"/>
        <w:ind w:firstLine="0"/>
      </w:pPr>
      <w:r>
        <w:rPr>
          <w:b/>
          <w:bCs/>
        </w:rPr>
        <w:t xml:space="preserve">Pontos de atenção:</w:t>
      </w:r>
      <w:r>
        <w:t xml:space="preserve"> Teoria do controle atencional; efeito da ansiedade de desempenho na testagem; benzodiazepínicos; comorbidade com depressão.</w:t>
      </w:r>
    </w:p>
    <w:p>
      <w:pPr>
        <w:spacing w:after="60"/>
        <w:ind w:firstLine="0"/>
      </w:pPr>
      <w:r>
        <w:rPr>
          <w:b/>
          <w:bCs/>
        </w:rPr>
        <w:t xml:space="preserve">Bibliografia de partida:</w:t>
      </w:r>
    </w:p>
    <w:p>
      <w:pPr>
        <w:spacing w:after="80"/>
        <w:ind w:left="567" w:hanging="340"/>
      </w:pPr>
      <w:r>
        <w:t xml:space="preserve">EYSENCK, M. W. et al. Anxiety and cognitive performance: attentional control theory. Emotion, v. 7, n. 2, p. 336-353, 2007.</w:t>
      </w:r>
    </w:p>
    <w:p>
      <w:pPr>
        <w:spacing w:after="80"/>
        <w:ind w:left="567" w:hanging="340"/>
      </w:pPr>
      <w:r>
        <w:t xml:space="preserve">MORAN, T. P. Anxiety and working memory capacity: a meta-analysis and narrative review. Psychological Bulletin, v. 142, n. 8, p. 831-864, 2016.</w:t>
      </w:r>
    </w:p>
    <w:p>
      <w:pPr>
        <w:pStyle w:val="Ttulo1"/>
        <w:keepNext/>
        <w:rPr>
          <w:sz w:val="22"/>
        </w:rPr>
      </w:pPr>
      <w:r>
        <w:rPr>
          <w:sz w:val="22"/>
        </w:rPr>
        <w:t xml:space="preserve">Grupo 7 — TDAH no adulto</w:t>
      </w:r>
    </w:p>
    <w:p>
      <w:pPr>
        <w:spacing w:after="80"/>
        <w:ind w:firstLine="0"/>
      </w:pPr>
      <w:r>
        <w:rPr>
          <w:b/>
          <w:bCs/>
        </w:rPr>
        <w:t xml:space="preserve">Apresentação:</w:t>
      </w:r>
      <w:r>
        <w:t xml:space="preserve"> S8 · 30/03</w:t>
      </w:r>
    </w:p>
    <w:p>
      <w:pPr>
        <w:spacing w:after="80"/>
        <w:ind w:firstLine="0"/>
      </w:pPr>
      <w:r>
        <w:rPr>
          <w:b/>
          <w:bCs/>
        </w:rPr>
        <w:t xml:space="preserve">Domínios mais estudados:</w:t>
      </w:r>
      <w:r>
        <w:t xml:space="preserve"> Atenção sustentada, controle inibitório, memória operacional, velocidade e variabilidade do tempo de reação.</w:t>
      </w:r>
    </w:p>
    <w:p>
      <w:pPr>
        <w:spacing w:after="80"/>
        <w:ind w:firstLine="0"/>
      </w:pPr>
      <w:r>
        <w:rPr>
          <w:b/>
          <w:bCs/>
        </w:rPr>
        <w:t xml:space="preserve">Instrumentos que costumam aparecer:</w:t>
      </w:r>
      <w:r>
        <w:t xml:space="preserve"> Testes de desempenho contínuo (CPT), TAVIS-4, Dígitos, Stroop; escalas de autorrelato e de informante (ASRS).</w:t>
      </w:r>
    </w:p>
    <w:p>
      <w:pPr>
        <w:spacing w:after="80"/>
        <w:ind w:firstLine="0"/>
      </w:pPr>
      <w:r>
        <w:rPr>
          <w:b/>
          <w:bCs/>
        </w:rPr>
        <w:t xml:space="preserve">Pontos de atenção:</w:t>
      </w:r>
      <w:r>
        <w:t xml:space="preserve"> O diagnóstico é clínico e exige história desde a infância; testes normais não excluem o transtorno; comorbidades e uso de substâncias.</w:t>
      </w:r>
    </w:p>
    <w:p>
      <w:pPr>
        <w:spacing w:after="60"/>
        <w:ind w:firstLine="0"/>
      </w:pPr>
      <w:r>
        <w:rPr>
          <w:b/>
          <w:bCs/>
        </w:rPr>
        <w:t xml:space="preserve">Bibliografia de partida:</w:t>
      </w:r>
    </w:p>
    <w:p>
      <w:pPr>
        <w:spacing w:after="80"/>
        <w:ind w:left="567" w:hanging="340"/>
      </w:pPr>
      <w:r>
        <w:t xml:space="preserve">HERVEY, A. S.; EPSTEIN, J. N.; CURRY, J. F. Neuropsychology of adults with attention-deficit/hyperactivity disorder: a meta-analytic review. Neuropsychology, v. 18, n. 3, p. 485-503, 2004.</w:t>
      </w:r>
    </w:p>
    <w:p>
      <w:pPr>
        <w:pStyle w:val="Ttulo1"/>
        <w:keepNext/>
        <w:rPr>
          <w:sz w:val="22"/>
        </w:rPr>
      </w:pPr>
      <w:r>
        <w:rPr>
          <w:sz w:val="22"/>
        </w:rPr>
        <w:t xml:space="preserve">Grupo 8 — Transtorno por uso de álcool</w:t>
      </w:r>
    </w:p>
    <w:p>
      <w:pPr>
        <w:spacing w:after="80"/>
        <w:ind w:firstLine="0"/>
      </w:pPr>
      <w:r>
        <w:rPr>
          <w:b/>
          <w:bCs/>
        </w:rPr>
        <w:t xml:space="preserve">Apresentação:</w:t>
      </w:r>
      <w:r>
        <w:t xml:space="preserve"> S8 · 30/03</w:t>
      </w:r>
    </w:p>
    <w:p>
      <w:pPr>
        <w:spacing w:after="80"/>
        <w:ind w:firstLine="0"/>
      </w:pPr>
      <w:r>
        <w:rPr>
          <w:b/>
          <w:bCs/>
        </w:rPr>
        <w:t xml:space="preserve">Domínios mais estudados:</w:t>
      </w:r>
      <w:r>
        <w:t xml:space="preserve"> Funções executivas, memória, habilidades visuoespaciais e velocidade; no extremo, síndrome de Wernicke-Korsakoff.</w:t>
      </w:r>
    </w:p>
    <w:p>
      <w:pPr>
        <w:spacing w:after="80"/>
        <w:ind w:firstLine="0"/>
      </w:pPr>
      <w:r>
        <w:rPr>
          <w:b/>
          <w:bCs/>
        </w:rPr>
        <w:t xml:space="preserve">Instrumentos que costumam aparecer:</w:t>
      </w:r>
      <w:r>
        <w:t xml:space="preserve"> Figura de Rey, RAVLT, Trilhas, Wisconsin, FAB/MoCA como rastreio.</w:t>
      </w:r>
    </w:p>
    <w:p>
      <w:pPr>
        <w:spacing w:after="80"/>
        <w:ind w:firstLine="0"/>
      </w:pPr>
      <w:r>
        <w:rPr>
          <w:b/>
          <w:bCs/>
        </w:rPr>
        <w:t xml:space="preserve">Pontos de atenção:</w:t>
      </w:r>
      <w:r>
        <w:t xml:space="preserve"> Tempo de abstinência na avaliação; recuperação parcial com abstinência; TCE e desnutrição associados; confabulação.</w:t>
      </w:r>
    </w:p>
    <w:p>
      <w:pPr>
        <w:spacing w:after="60"/>
        <w:ind w:firstLine="0"/>
      </w:pPr>
      <w:r>
        <w:rPr>
          <w:b/>
          <w:bCs/>
        </w:rPr>
        <w:t xml:space="preserve">Bibliografia de partida:</w:t>
      </w:r>
    </w:p>
    <w:p>
      <w:pPr>
        <w:spacing w:after="80"/>
        <w:ind w:left="567" w:hanging="340"/>
      </w:pPr>
      <w:r>
        <w:t xml:space="preserve">STAVRO, K.; PELLETIER, J.; POTVIN, S. Widespread and sustained cognitive deficits in alcoholism: a meta-analysis. Addiction Biology, v. 18, n. 2, p. 203-213, 2013.</w:t>
      </w:r>
    </w:p>
    <w:p>
      <w:pPr>
        <w:spacing w:after="80"/>
        <w:ind w:left="567" w:hanging="340"/>
      </w:pPr>
      <w:r>
        <w:t xml:space="preserve">OSCAR-BERMAN, M.; MARINKOVIC, K. Alcohol: effects on neurobehavioral functions and the brain. Neuropsychology Review, v. 17, n. 3, p. 239-257, 2007.</w:t>
      </w:r>
    </w:p>
    <w:p>
      <w:pPr>
        <w:pStyle w:val="Ttulo1"/>
        <w:keepNext/>
        <w:rPr>
          <w:sz w:val="22"/>
        </w:rPr>
      </w:pPr>
      <w:r>
        <w:rPr>
          <w:sz w:val="22"/>
        </w:rPr>
        <w:t xml:space="preserve">Grupo 9 — Anorexia nervosa</w:t>
      </w:r>
    </w:p>
    <w:p>
      <w:pPr>
        <w:spacing w:after="80"/>
        <w:ind w:firstLine="0"/>
      </w:pPr>
      <w:r>
        <w:rPr>
          <w:b/>
          <w:bCs/>
        </w:rPr>
        <w:t xml:space="preserve">Apresentação:</w:t>
      </w:r>
      <w:r>
        <w:t xml:space="preserve"> S8 · 30/03</w:t>
      </w:r>
    </w:p>
    <w:p>
      <w:pPr>
        <w:spacing w:after="80"/>
        <w:ind w:firstLine="0"/>
      </w:pPr>
      <w:r>
        <w:rPr>
          <w:b/>
          <w:bCs/>
        </w:rPr>
        <w:t xml:space="preserve">Domínios mais estudados:</w:t>
      </w:r>
      <w:r>
        <w:t xml:space="preserve"> Flexibilidade cognitiva (set-shifting) e coerência central fraca (atenção ao detalhe em detrimento do todo).</w:t>
      </w:r>
    </w:p>
    <w:p>
      <w:pPr>
        <w:spacing w:after="80"/>
        <w:ind w:firstLine="0"/>
      </w:pPr>
      <w:r>
        <w:rPr>
          <w:b/>
          <w:bCs/>
        </w:rPr>
        <w:t xml:space="preserve">Instrumentos que costumam aparecer:</w:t>
      </w:r>
      <w:r>
        <w:t xml:space="preserve"> Wisconsin, Trilhas B, Figura de Rey (estilo de cópia), tarefas de coerência central.</w:t>
      </w:r>
    </w:p>
    <w:p>
      <w:pPr>
        <w:spacing w:after="80"/>
        <w:ind w:firstLine="0"/>
      </w:pPr>
      <w:r>
        <w:rPr>
          <w:b/>
          <w:bCs/>
        </w:rPr>
        <w:t xml:space="preserve">Pontos de atenção:</w:t>
      </w:r>
      <w:r>
        <w:t xml:space="preserve"> Efeito da desnutrição na cognição; o que é traço e o que é estado; remediação cognitiva como tratamento.</w:t>
      </w:r>
    </w:p>
    <w:p>
      <w:pPr>
        <w:spacing w:after="60"/>
        <w:ind w:firstLine="0"/>
      </w:pPr>
      <w:r>
        <w:rPr>
          <w:b/>
          <w:bCs/>
        </w:rPr>
        <w:t xml:space="preserve">Bibliografia de partida:</w:t>
      </w:r>
    </w:p>
    <w:p>
      <w:pPr>
        <w:spacing w:after="80"/>
        <w:ind w:left="567" w:hanging="340"/>
      </w:pPr>
      <w:r>
        <w:t xml:space="preserve">ROBERTS, M. E. et al. A systematic review and meta-analysis of set-shifting ability in eating disorders. Psychological Medicine, v. 37, n. 8, p. 1075-1084, 2007.</w:t>
      </w:r>
    </w:p>
    <w:p>
      <w:pPr>
        <w:spacing w:after="80"/>
        <w:ind w:left="567" w:hanging="340"/>
      </w:pPr>
      <w:r>
        <w:t xml:space="preserve">LANG, K. et al. Central coherence in eating disorders: an updated systematic review and meta-analysis. The World Journal of Biological Psychiatry, v. 15, n. 8, p. 586-598, 2014.</w:t>
      </w:r>
    </w:p>
    <w:p>
      <w:pPr>
        <w:pStyle w:val="Ttulo1"/>
        <w:keepNext/>
        <w:rPr>
          <w:sz w:val="22"/>
        </w:rPr>
      </w:pPr>
      <w:r>
        <w:rPr>
          <w:sz w:val="22"/>
        </w:rPr>
        <w:t xml:space="preserve">Grupo 10 — Transtorno da personalidade borderline</w:t>
      </w:r>
    </w:p>
    <w:p>
      <w:pPr>
        <w:spacing w:after="80"/>
        <w:ind w:firstLine="0"/>
      </w:pPr>
      <w:r>
        <w:rPr>
          <w:b/>
          <w:bCs/>
        </w:rPr>
        <w:t xml:space="preserve">Apresentação:</w:t>
      </w:r>
      <w:r>
        <w:t xml:space="preserve"> S8 · 30/03</w:t>
      </w:r>
    </w:p>
    <w:p>
      <w:pPr>
        <w:spacing w:after="80"/>
        <w:ind w:firstLine="0"/>
      </w:pPr>
      <w:r>
        <w:rPr>
          <w:b/>
          <w:bCs/>
        </w:rPr>
        <w:t xml:space="preserve">Domínios mais estudados:</w:t>
      </w:r>
      <w:r>
        <w:t xml:space="preserve"> Controle inibitório e impulsividade, tomada de decisão, cognição social (reconhecimento de emoções, mentalização).</w:t>
      </w:r>
    </w:p>
    <w:p>
      <w:pPr>
        <w:spacing w:after="80"/>
        <w:ind w:firstLine="0"/>
      </w:pPr>
      <w:r>
        <w:rPr>
          <w:b/>
          <w:bCs/>
        </w:rPr>
        <w:t xml:space="preserve">Instrumentos que costumam aparecer:</w:t>
      </w:r>
      <w:r>
        <w:t xml:space="preserve"> Go/No-Go, Iowa Gambling Task (pesquisa), tarefas de reconhecimento de emoções e de teoria da mente; escalas de impulsividade.</w:t>
      </w:r>
    </w:p>
    <w:p>
      <w:pPr>
        <w:spacing w:after="80"/>
        <w:ind w:firstLine="0"/>
      </w:pPr>
      <w:r>
        <w:rPr>
          <w:b/>
          <w:bCs/>
        </w:rPr>
        <w:t xml:space="preserve">Pontos de atenção:</w:t>
      </w:r>
      <w:r>
        <w:t xml:space="preserve"> Diferença entre impulsividade cognitiva e motora; comorbidades (TEPT, uso de substâncias, depressão); evitar estigmatização no laudo.</w:t>
      </w:r>
    </w:p>
    <w:p>
      <w:pPr>
        <w:spacing w:after="60"/>
        <w:ind w:firstLine="0"/>
      </w:pPr>
      <w:r>
        <w:rPr>
          <w:b/>
          <w:bCs/>
        </w:rPr>
        <w:t xml:space="preserve">Bibliografia de partida:</w:t>
      </w:r>
    </w:p>
    <w:p>
      <w:pPr>
        <w:spacing w:after="80"/>
        <w:ind w:left="567" w:hanging="340"/>
      </w:pPr>
      <w:r>
        <w:t xml:space="preserve">RUOCCO, A. C. The neuropsychology of borderline personality disorder: a meta-analysis and review. Psychiatry Research, v. 137, n. 3, p. 191-202, 2005.</w:t>
      </w: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Referências gerais para todos os grupos</w:t>
      </w:r>
    </w:p>
    <w:p>
      <w:pPr>
        <w:spacing w:after="80"/>
        <w:ind w:left="567" w:hanging="340"/>
      </w:pPr>
      <w:r>
        <w:t xml:space="preserve">MALLOY-DINIZ, L. F. et al. (org.). Avaliação neuropsicológica. 2. ed. Porto Alegre: Artmed, 2016.</w:t>
      </w:r>
    </w:p>
    <w:p>
      <w:pPr>
        <w:spacing w:after="80"/>
        <w:ind w:left="567" w:hanging="340"/>
      </w:pPr>
      <w:r>
        <w:t xml:space="preserve">MILLAN, M. J. et al. Cognitive dysfunction in psychiatric disorders: characteristics, causes and the quest for improved therapy. Nature Reviews Drug Discovery, v. 11, n. 2, p. 141-168, 2012.</w:t>
      </w:r>
    </w:p>
    <w:p>
      <w:pPr>
        <w:spacing w:after="80"/>
        <w:ind w:left="567" w:hanging="340"/>
      </w:pPr>
      <w:r>
        <w:t xml:space="preserve">FUENTES, D. et al. (org.). Neuropsicologia: teoria e prática. 2. ed. Porto Alegre: Artmed, 2014.</w:t>
      </w:r>
    </w:p>
    <w:p>
      <w:pPr>
        <w:spacing w:after="80"/>
        <w:ind w:left="567" w:hanging="340"/>
      </w:pPr>
      <w:r>
        <w:t xml:space="preserve">AMERICAN PSYCHIATRIC ASSOCIATION. Manual diagnóstico e estatístico de transtornos mentais: DSM-5-TR. 5. ed., texto revisado. Porto Alegre: Artmed, 2023.</w:t>
      </w:r>
    </w:p>
    <w:p>
      <w:pPr>
        <w:spacing w:after="80"/>
        <w:ind w:left="567" w:hanging="340"/>
      </w:pPr>
      <w:r>
        <w:t xml:space="preserve">CONSELHO FEDERAL DE PSICOLOGIA. Resolução nº 06, de 29 de março de 2019. Institui regras para a elaboração de documentos escritos produzidos pela(o) psicóloga(o) no exercício profissional.</w:t>
      </w:r>
    </w:p>
    <w:p>
      <w:pPr>
        <w:spacing w:after="120"/>
        <w:ind w:firstLine="0"/>
      </w:pPr>
      <w:r>
        <w:t xml:space="preserve">As bases indicadas para buscar artigos são PubMed, SciELO, BVS-Psi e Periódicos CAPES. Use como termos o nome do transtorno em inglês com "neuropsychology", "cognitive impairment" ou "meta-analysis".</w:t>
      </w:r>
    </w:p>
    <w:sectPr w:rsidR="00734FF8" w:rsidRPr="00376B54" w:rsidSect="00420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141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B2B8" w14:textId="77777777" w:rsidR="00EC624F" w:rsidRPr="0097154C" w:rsidRDefault="00EC624F">
      <w:pPr>
        <w:spacing w:line="240" w:lineRule="auto"/>
      </w:pPr>
      <w:r w:rsidRPr="0097154C">
        <w:separator/>
      </w:r>
    </w:p>
  </w:endnote>
  <w:endnote w:type="continuationSeparator" w:id="0">
    <w:p w14:paraId="10916CAF" w14:textId="77777777" w:rsidR="00EC624F" w:rsidRPr="0097154C" w:rsidRDefault="00EC624F">
      <w:pPr>
        <w:spacing w:line="240" w:lineRule="auto"/>
      </w:pPr>
      <w:r w:rsidRPr="009715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CC6C6-A7F2-4663-A979-4B2E838502C9}"/>
    <w:embedBold r:id="rId2" w:fontKey="{B4CA3ED9-026E-479F-8C5C-283000E62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38CF2-B788-4D51-BA0F-1EA17FBD2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D17" w14:textId="77777777" w:rsidR="00A22BA2" w:rsidRDefault="00A22B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578D" w14:textId="0BFC6AC6" w:rsidR="0097154C" w:rsidRDefault="0097154C" w:rsidP="0097154C">
    <w:pPr>
      <w:pStyle w:val="Rodap"/>
      <w:jc w:val="center"/>
    </w:pPr>
    <w:r w:rsidRPr="0097154C">
      <w:t xml:space="preserve">R. Cachoeira </w:t>
    </w:r>
    <w:proofErr w:type="spellStart"/>
    <w:r w:rsidRPr="0097154C">
      <w:t>Utupanema</w:t>
    </w:r>
    <w:proofErr w:type="spellEnd"/>
    <w:r w:rsidRPr="0097154C">
      <w:t>, 40 – Vila Carmosina, São Paulo – SP, 08270-140 – Telefone: (11) 2217-9110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7C91" w14:textId="77777777" w:rsidR="00A22BA2" w:rsidRDefault="00A22B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A658" w14:textId="77777777" w:rsidR="00EC624F" w:rsidRPr="0097154C" w:rsidRDefault="00EC624F">
      <w:pPr>
        <w:spacing w:line="240" w:lineRule="auto"/>
      </w:pPr>
      <w:r w:rsidRPr="0097154C">
        <w:separator/>
      </w:r>
    </w:p>
  </w:footnote>
  <w:footnote w:type="continuationSeparator" w:id="0">
    <w:p w14:paraId="1C6B4122" w14:textId="77777777" w:rsidR="00EC624F" w:rsidRPr="0097154C" w:rsidRDefault="00EC624F">
      <w:pPr>
        <w:spacing w:line="240" w:lineRule="auto"/>
      </w:pPr>
      <w:r w:rsidRPr="009715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6DA" w14:textId="77777777" w:rsidR="00A22BA2" w:rsidRDefault="00A22B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C577" w14:textId="77777777" w:rsidR="00734FF8" w:rsidRPr="0097154C" w:rsidRDefault="00000000" w:rsidP="004208E5">
    <w:pPr>
      <w:ind w:firstLine="0"/>
    </w:pPr>
    <w:r w:rsidRPr="0097154C">
      <w:rPr>
        <w:noProof/>
      </w:rPr>
      <w:drawing>
        <wp:anchor distT="114300" distB="114300" distL="114300" distR="114300" simplePos="0" relativeHeight="251658240" behindDoc="0" locked="0" layoutInCell="1" hidden="0" allowOverlap="1" wp14:anchorId="63181BBF" wp14:editId="2EED61C7">
          <wp:simplePos x="0" y="0"/>
          <wp:positionH relativeFrom="column">
            <wp:posOffset>-628649</wp:posOffset>
          </wp:positionH>
          <wp:positionV relativeFrom="paragraph">
            <wp:posOffset>-771524</wp:posOffset>
          </wp:positionV>
          <wp:extent cx="2571750" cy="685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17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EB7" w14:textId="77777777" w:rsidR="00A22BA2" w:rsidRDefault="00A22B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F8"/>
    <w:rsid w:val="00233789"/>
    <w:rsid w:val="00376B54"/>
    <w:rsid w:val="003F79FC"/>
    <w:rsid w:val="004208E5"/>
    <w:rsid w:val="00577948"/>
    <w:rsid w:val="00597B11"/>
    <w:rsid w:val="00734FF8"/>
    <w:rsid w:val="007C1DBB"/>
    <w:rsid w:val="0097154C"/>
    <w:rsid w:val="00A22BA2"/>
    <w:rsid w:val="00BA3311"/>
    <w:rsid w:val="00C33BA3"/>
    <w:rsid w:val="00D00831"/>
    <w:rsid w:val="00EC624F"/>
    <w:rsid w:val="00E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7CE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6B54"/>
    <w:pPr>
      <w:keepNext/>
      <w:pBdr>
        <w:bottom w:val="single" w:sz="4" w:space="4" w:color="BFBFBF"/>
      </w:pBdr>
      <w:spacing w:before="360" w:after="140" w:line="276" w:lineRule="auto"/>
      <w:ind w:firstLine="0"/>
      <w:jc w:val="left"/>
      <w:outlineLvl w:val="0"/>
    </w:pPr>
    <w:rPr>
      <w:rFonts w:eastAsia="Calibri"/>
      <w:b/>
      <w:sz w:val="24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154C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154C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376B54"/>
    <w:rPr>
      <w:rFonts w:eastAsia="Calibri"/>
      <w:b/>
      <w:sz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2239</Words>
  <Characters>12096</Characters>
  <Application>Microsoft Office Word</Application>
  <DocSecurity>1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Peres Barbieri</cp:lastModifiedBy>
  <cp:revision>7</cp:revision>
  <dcterms:created xsi:type="dcterms:W3CDTF">2026-09-24T18:05:00Z</dcterms:created>
  <dcterms:modified xsi:type="dcterms:W3CDTF">2026-09-30T17:44:00Z</dcterms:modified>
  <dc:creator>André Peres Barbieri</dc:creator>
  <dc:title>Material de referência do seminário</dc:title>
  <dc:description/>
</cp:coreProperties>
</file>