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05 — Traumatismo cranioencefálico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Sr. Rodrigo, 29 anos, motoboy</w:t>
      </w:r>
    </w:p>
    <w:p>
      <w:pPr>
        <w:spacing w:after="120"/>
        <w:ind w:firstLine="0"/>
      </w:pPr>
      <w:r>
        <w:t xml:space="preserve">Encaminhado pelo médico do trabalho oito meses depois de um TCE grave. Veio com a companheira, Tainá.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Ele pode voltar a pilotar moto profissionalmente?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Nasceu e mora na zona leste de São Paulo. Ensino médio completo, onze anos de escolaridade. Trabalhou como entregador de moto por sete anos, com fama de rápido e de conhecer todos os atalhos.</w:t>
      </w:r>
    </w:p>
    <w:p>
      <w:pPr>
        <w:spacing w:after="120"/>
        <w:ind w:firstLine="0"/>
      </w:pPr>
      <w:r>
        <w:t xml:space="preserve">Mora com a companheira e a filha de três anos. Jogava futebol no fim de semana. Bebia cerveja nos fins de semana; parou depois do acidente.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da queixa atual</w:t>
      </w:r>
    </w:p>
    <w:p>
      <w:pPr>
        <w:spacing w:after="120"/>
        <w:ind w:firstLine="0"/>
      </w:pPr>
      <w:r>
        <w:t xml:space="preserve">Foi atingido por um carro num cruzamento. Chegou ao pronto-socorro com Glasgow 7. A tomografia mostrou contusão frontal bilateral e pequenas hemorragias compatíveis com lesão axonal difusa. A amnésia pós-traumática durou doze dias.</w:t>
      </w:r>
    </w:p>
    <w:p>
      <w:pPr>
        <w:spacing w:after="120"/>
        <w:ind w:firstLine="0"/>
      </w:pPr>
      <w:r>
        <w:t xml:space="preserve">Recuperou a marcha e a fala. Está afastado pelo INSS. Diz que está "cem por cento" e que quer voltar a trabalhar na semana que vem.</w:t>
      </w:r>
    </w:p>
    <w:p>
      <w:pPr>
        <w:spacing w:after="120"/>
        <w:ind w:firstLine="0"/>
      </w:pPr>
      <w:r>
        <w:t xml:space="preserve">A companheira conta que ele ficou "lento para tudo", esquece o que ela pede, perde a paciência por qualquer coisa e já gritou com a filha por causa de barulho. Duas vezes saiu com a moto da família sem avisar e "voltou nervoso, dizendo que os carros estavam loucos".</w:t>
      </w:r>
    </w:p>
    <w:p>
      <w:pPr>
        <w:spacing w:after="120"/>
        <w:ind w:firstLine="0"/>
      </w:pPr>
      <w:r>
        <w:t xml:space="preserve">Nega tristeza. Dorme mal. Não usa medicação psiquiátrica.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que se observa na avaliação</w:t>
      </w:r>
    </w:p>
    <w:p>
      <w:pPr>
        <w:spacing w:after="80"/>
        <w:ind w:left="567" w:hanging="340"/>
      </w:pPr>
      <w:r>
        <w:t xml:space="preserve">•  Orientado, colaborativo no início, impaciente no fim da segunda hora.</w:t>
      </w:r>
    </w:p>
    <w:p>
      <w:pPr>
        <w:spacing w:after="80"/>
        <w:ind w:left="567" w:hanging="340"/>
      </w:pPr>
      <w:r>
        <w:t xml:space="preserve">•  Responde antes de a instrução terminar e precisa ser trazido de volta à tarefa.</w:t>
      </w:r>
    </w:p>
    <w:p>
      <w:pPr>
        <w:spacing w:after="80"/>
        <w:ind w:left="567" w:hanging="340"/>
      </w:pPr>
      <w:r>
        <w:t xml:space="preserve">•  No Stroop, comete muitos erros e ri deles.</w:t>
      </w:r>
    </w:p>
    <w:p>
      <w:pPr>
        <w:spacing w:after="80"/>
        <w:ind w:left="567" w:hanging="340"/>
      </w:pPr>
      <w:r>
        <w:t xml:space="preserve">•  Nos testes de validade de desempenho, resultado dentro do esperado: o esforço foi adequado.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Resultados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2000"/>
        <w:gridCol w:w="2126"/>
      </w:tblGrid>
      <w:tr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Domínio</w:t>
            </w:r>
          </w:p>
        </w:tc>
        <w:tc>
          <w:tcPr>
            <w:tcW w:w="2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1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Norma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Velocidade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Códigos (WAIS-III)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ponderado 4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abaixo da média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Atenção dividida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Trilhas B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190 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−2,4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verbal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RAVLT, evocação tardia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7 palavras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−1,2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Controle inibitório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Stroop, cartão 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muitos erros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z −2,0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Autoconsciência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Escala de competência (paciente × companheira)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ele 8/10; ela 4/10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discrepância marcada</w:t>
            </w:r>
          </w:p>
        </w:tc>
      </w:tr>
      <w:tr>
        <w:trPr>
          <w:cantSplit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Validade de desempenho</w:t>
            </w:r>
          </w:p>
        </w:tc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Teste de validade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dentro do esperado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esforço adequado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a conclusão do laudo respondendo à pergunta do médico do trabalho. Lembrem que o laudo descreve a capacidade para a função; a decisão é do médico.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Sr. Rodrigo, 29 anos, motoboy</dc:title>
  <dc:description/>
</cp:coreProperties>
</file>