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0"/>
      </w:pPr>
      <w:r>
        <w:t xml:space="preserve">Banco de questões · Aula 04 — Transtornos neurocognitivos</w:t>
      </w:r>
    </w:p>
    <w:p>
      <w:pPr>
        <w:spacing w:after="130" w:line="276"/>
        <w:jc w:val="left"/>
      </w:pPr>
      <w:r>
        <w:rPr>
          <w:b/>
          <w:bCs/>
        </w:rPr>
        <w:t xml:space="preserve">Disciplina</w:t>
      </w:r>
      <w:r>
        <w:t xml:space="preserve"> Neuropsicologia II · FASM</w:t>
      </w:r>
      <w:r>
        <w:br/>
        <w:t xml:space="preserve"/>
      </w:r>
      <w:r>
        <w:rPr>
          <w:b/>
          <w:bCs/>
        </w:rPr>
        <w:t xml:space="preserve">Base</w:t>
      </w:r>
      <w:r>
        <w:t xml:space="preserve"> deck </w:t>
      </w:r>
      <w:r>
        <w:rPr>
          <w:rFonts w:ascii="Consolas" w:cs="Consolas" w:eastAsia="Consolas" w:hAnsi="Consolas"/>
          <w:sz w:val="19"/>
          <w:szCs w:val="19"/>
        </w:rPr>
        <w:t xml:space="preserve">aulas/aula-04-transtornos-neurocognitivos.md</w:t>
      </w:r>
      <w:r>
        <w:t xml:space="preserve">; APA, </w:t>
      </w:r>
      <w:r>
        <w:rPr>
          <w:i/>
          <w:iCs/>
        </w:rPr>
        <w:t xml:space="preserve">DSM-5</w:t>
      </w:r>
      <w:r>
        <w:t xml:space="preserve">, capítulo Transtornos Neurocognitivos; Brucki et al. (2003) para o MEEM.</w:t>
      </w:r>
      <w:r>
        <w:br/>
        <w:t xml:space="preserve"/>
      </w:r>
      <w:r>
        <w:rPr>
          <w:b/>
          <w:bCs/>
        </w:rPr>
        <w:t xml:space="preserve">Total</w:t>
      </w:r>
      <w:r>
        <w:t xml:space="preserve"> 18 questões · 5 múltipla escolha · 3 verdadeiro ou falso · 3 afirmações corretas · 4 estudos de caso · 3 estilo ENADE/ENEM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Como usar.</w:t>
      </w:r>
      <w:r>
        <w:t xml:space="preserve"> Cada questão traz tipo, nível e objetivo. Gabarito e comentário em um bloco destacado logo abaixo de cada questão, que pode ser apagado ao montar a prova. As questões 5, 6 e 13 trazem os </w:t>
      </w:r>
      <w:r>
        <w:rPr>
          <w:b/>
          <w:bCs/>
        </w:rPr>
        <w:t xml:space="preserve">resultados já apurados</w:t>
      </w:r>
      <w:r>
        <w:t xml:space="preserve"> (total do MEEM, escore ajustado por item não realizado, velocidade de progressão): o que se cobra é a comparação com o ponto de corte da escolaridade certa e a leitura clínica, não a conta.</w:t>
      </w:r>
      <w:r>
        <w:br/>
        <w:t xml:space="preserve"/>
      </w:r>
      <w:r>
        <w:rPr>
          <w:b/>
          <w:bCs/>
        </w:rPr>
        <w:t xml:space="preserve">Eixo da aula.</w:t>
      </w:r>
      <w:r>
        <w:t xml:space="preserve"> Primeiro a </w:t>
      </w:r>
      <w:r>
        <w:rPr>
          <w:b/>
          <w:bCs/>
        </w:rPr>
        <w:t xml:space="preserve">síndrome</w:t>
      </w:r>
      <w:r>
        <w:t xml:space="preserve"> (TNC leve ou maior), depois a </w:t>
      </w:r>
      <w:r>
        <w:rPr>
          <w:b/>
          <w:bCs/>
        </w:rPr>
        <w:t xml:space="preserve">etiologia</w:t>
      </w:r>
      <w:r>
        <w:t xml:space="preserve">, depois o </w:t>
      </w:r>
      <w:r>
        <w:rPr>
          <w:b/>
          <w:bCs/>
        </w:rPr>
        <w:t xml:space="preserve">grau de certeza</w:t>
      </w:r>
      <w:r>
        <w:t xml:space="preserve">. E o que separa leve de maior não é o escore: é a independência nas atividades instrumentais — que não sai de nenhuma tabela normativa.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2066"/>
        <w:gridCol w:w="1414"/>
        <w:gridCol w:w="4946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6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41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Nível</w:t>
            </w:r>
          </w:p>
        </w:tc>
        <w:tc>
          <w:tcPr>
            <w:tcW w:type="dxa" w:w="494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Tema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fácil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que define um TNC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fácil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Delirium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fácil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TNC leve × TNC maior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fácil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Atividades instrumentais e critério B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MEEM com alta escolaridade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6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MEEM com baixa escolaridade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7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Comprometimento cognitivo subjetivo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8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Leitura de perfil por domínios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9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Etiologias e suas assinaturas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10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médio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TNC com corpos de Lewy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11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Vascular × Alzheimer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12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Variante comportamental frontotemporal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13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Escore ajustado e velocidade de progressão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14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Afirmações corretas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Limites do MEEM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15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Múltipla escolha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Delirium sobreposto a TNC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16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Verdadeiro ou falso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raciocínio por trás do escore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17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Estudo de caso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Escore abaixo do corte que não fecha diagnóstico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18</w:t>
            </w:r>
          </w:p>
        </w:tc>
        <w:tc>
          <w:tcPr>
            <w:tcW w:type="dxa" w:w="206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ENADE/ENEM</w:t>
            </w:r>
          </w:p>
        </w:tc>
        <w:tc>
          <w:tcPr>
            <w:tcW w:type="dxa" w:w="141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muito difícil</w:t>
            </w:r>
          </w:p>
        </w:tc>
        <w:tc>
          <w:tcPr>
            <w:tcW w:type="dxa" w:w="49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Síndrome, etiologia e grau de certeza</w:t>
            </w:r>
          </w:p>
        </w:tc>
      </w:tr>
    </w:tbl>
    <w:p>
      <w:pPr>
        <w:spacing w:after="15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 · múltipla escolha · muito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delimitar a categoria.</w:t>
      </w:r>
    </w:p>
    <w:p>
      <w:pPr>
        <w:spacing w:after="130" w:line="276"/>
        <w:jc w:val="left"/>
      </w:pPr>
      <w:r>
        <w:t xml:space="preserve">Déficits cognitivos existem em vários transtornos mentais. O que caracteriza especificamente um </w:t>
      </w:r>
      <w:r>
        <w:rPr>
          <w:b/>
          <w:bCs/>
        </w:rPr>
        <w:t xml:space="preserve">transtorno neurocognitivo</w:t>
      </w:r>
      <w:r>
        <w:t xml:space="preserve"> é o fato de o déficit ser: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restrito ao domínio da memória.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grave o suficiente para exigir internação.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</w:t>
      </w:r>
      <w:r>
        <w:rPr>
          <w:b/>
          <w:bCs/>
        </w:rPr>
        <w:t xml:space="preserve">primário</w:t>
      </w:r>
      <w:r>
        <w:t xml:space="preserve"> — a característica clínica central é a alteração da função cognitiva — e </w:t>
      </w:r>
      <w:r>
        <w:rPr>
          <w:b/>
          <w:bCs/>
        </w:rPr>
        <w:t xml:space="preserve">adquirido</w:t>
      </w:r>
      <w:r>
        <w:t xml:space="preserve">, representando declínio a partir de um nível de funcionamento antes alcançado, com etiologia frequentemente determinável.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acompanhado obrigatoriamente de alterações de humor.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irreversível e progressivo em todos os casos.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Cada palavra da definição exclui uma vizinhança do manual: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primário</w:t>
      </w:r>
      <w:r>
        <w:t xml:space="preserve"> exclui esquizofrenia e transtorno bipolar — neles há déficit cognitivo, mas a característica central é outra;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adquirido</w:t>
      </w:r>
      <w:r>
        <w:t xml:space="preserve"> exclui deficiência intelectual e transtorno específico da aprendizagem — ali a função nunca esteve preservada, e o capítulo é o dos transtornos do neurodesenvolvimento;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etiologia determinável</w:t>
      </w:r>
      <w:r>
        <w:t xml:space="preserve"> é a marca mais incomum: em nenhuma outra categoria do DSM-5 a investigação da patologia subjacente faz parte da estrutura do diagnóstico.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a)</w:t>
      </w:r>
      <w:r>
        <w:t xml:space="preserve"> é falsa: são seis domínios, e memória é apenas um deles.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é falsa: delirium é um TNC e é, tipicamente, reversível — e mesmo o TNC leve pode estabilizar ou reverter.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2 · verdadeiro ou falso · muito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reconhecer o quadro em que a atenção é a marca obrigatória.</w:t>
      </w: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 cada afirmação sobre o delirium.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perturbação nuclear é da capacidade de dirigir, focalizar, manter e mudar o foco da atenção, e da orientação para o ambiente.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Instala-se ao longo de meses e tem curso lentamente progressivo.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gravidade pode mudar dentro de um mesmo dia.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Exige evidência de causa fisiológica — condição médica, intoxicação, abstinência, toxina ou múltiplas etiologias.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V.</w:t>
      </w:r>
      <w:r>
        <w:t xml:space="preserve"> É o único quadro do capítulo em que a </w:t>
      </w:r>
      <w:r>
        <w:rPr>
          <w:b/>
          <w:bCs/>
        </w:rPr>
        <w:t xml:space="preserve">atenção</w:t>
      </w:r>
      <w:r>
        <w:t xml:space="preserve"> é marca obrigatória.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— F.</w:t>
      </w:r>
      <w:r>
        <w:t xml:space="preserve"> Instala-se em </w:t>
      </w:r>
      <w:r>
        <w:rPr>
          <w:b/>
          <w:bCs/>
        </w:rPr>
        <w:t xml:space="preserve">horas a dias</w:t>
      </w:r>
      <w:r>
        <w:t xml:space="preserve">. Início agudo com curso flutuante é a assinatura temporal do delirium — e delirium é emergência médica.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III — V.</w:t>
      </w:r>
      <w:r>
        <w:t xml:space="preserve"> É o único quadro cuja gravidade muda entre a visita da manhã e a da noite.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V.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Nota clínica que a aula insiste:</w:t>
      </w:r>
      <w:r>
        <w:t xml:space="preserve"> na enfermaria, a pergunta raramente é "é delirium ou é demência?". É "</w:t>
      </w:r>
      <w:r>
        <w:rPr>
          <w:b/>
          <w:bCs/>
        </w:rPr>
        <w:t xml:space="preserve">há delirium sobre o que já existia?</w:t>
      </w:r>
      <w:r>
        <w:t xml:space="preserve">" — os dois coexistem com frequência, e o critério do TNC exige apenas que os déficits não ocorram </w:t>
      </w:r>
      <w:r>
        <w:rPr>
          <w:i/>
          <w:iCs/>
        </w:rPr>
        <w:t xml:space="preserve">exclusivamente</w:t>
      </w:r>
      <w:r>
        <w:t xml:space="preserve"> durante o delirium.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3 · afirmações corretas ·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identificar o critério que separa os dois níveis.</w:t>
      </w:r>
    </w:p>
    <w:p>
      <w:pPr>
        <w:spacing w:after="130" w:line="276"/>
        <w:jc w:val="left"/>
      </w:pPr>
      <w:r>
        <w:t xml:space="preserve">Sobre a distinção entre TNC leve e TNC maior, considere: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No TNC leve há declínio </w:t>
      </w:r>
      <w:r>
        <w:rPr>
          <w:b/>
          <w:bCs/>
        </w:rPr>
        <w:t xml:space="preserve">pequeno</w:t>
      </w:r>
      <w:r>
        <w:t xml:space="preserve">, com prejuízo modesto no teste; no maior, declínio importante, com prejuízo substancial.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No TNC leve a independência está </w:t>
      </w:r>
      <w:r>
        <w:rPr>
          <w:b/>
          <w:bCs/>
        </w:rPr>
        <w:t xml:space="preserve">preservada</w:t>
      </w:r>
      <w:r>
        <w:t xml:space="preserve">, ainda que com mais esforço ou estratégia; no maior, ela está comprometida e a pessoa passa a precisar de assistência.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Os critérios que exigem que os déficits não ocorram exclusivamente durante delirium e que não sejam mais bem explicados por outro transtorno mental são </w:t>
      </w:r>
      <w:r>
        <w:rPr>
          <w:b/>
          <w:bCs/>
        </w:rPr>
        <w:t xml:space="preserve">idênticos</w:t>
      </w:r>
      <w:r>
        <w:t xml:space="preserve"> nos dois níveis.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O que separa um nível do outro é o ponto de corte do escore obtido no rastreio cognitivo.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"TNC maior" corresponde ao que se chama de demência, mas é termo mais amplo, pois abrange também quem declinou em um só domínio.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todas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I, II e IV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II, III e IV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I, II, III e V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I, IV e V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é falsa</w:t>
      </w:r>
      <w:r>
        <w:t xml:space="preserve"> e é o eixo da aula: os critérios C e D são idênticos nos dois níveis, e o que decide é o </w:t>
      </w:r>
      <w:r>
        <w:rPr>
          <w:b/>
          <w:bCs/>
        </w:rPr>
        <w:t xml:space="preserve">critério B</w:t>
      </w:r>
      <w:r>
        <w:t xml:space="preserve"> — a funcionalidade. E ela sai da </w:t>
      </w:r>
      <w:r>
        <w:rPr>
          <w:b/>
          <w:bCs/>
        </w:rPr>
        <w:t xml:space="preserve">história e do informante</w:t>
      </w:r>
      <w:r>
        <w:t xml:space="preserve">, não da tabela normativa.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Exemplo que fixa a diferença: passar a anotar o que antes se lembrava é TNC leve; errar a dose do próprio remédio é TNC maior.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item V explica um detalhe de nomenclatura: o que edições anteriores do manual chamavam de </w:t>
      </w:r>
      <w:r>
        <w:rPr>
          <w:i/>
          <w:iCs/>
        </w:rPr>
        <w:t xml:space="preserve">transtorno amnéstico</w:t>
      </w:r>
      <w:r>
        <w:t xml:space="preserve"> — prejuízo isolado de memória — hoje é codificado como TNC maior devido a outra condição médica, e nesses casos não se usa a palavra demência.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4 · múltipla escolha · fácil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operacionalizar o critério de funcionalidade.</w:t>
      </w:r>
    </w:p>
    <w:p>
      <w:pPr>
        <w:spacing w:after="130" w:line="276"/>
        <w:jc w:val="left"/>
      </w:pPr>
      <w:r>
        <w:t xml:space="preserve">O critério de independência examinado no diagnóstico de TNC se refere às </w:t>
      </w:r>
      <w:r>
        <w:rPr>
          <w:b/>
          <w:bCs/>
        </w:rPr>
        <w:t xml:space="preserve">atividades instrumentais da vida diária</w:t>
      </w:r>
      <w:r>
        <w:t xml:space="preserve">. São exemplos dessas atividades: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vestir-se, alimentar-se, tomar banho e transferir-se da cama para a cadeira.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pagar contas, controlar a própria medicação, usar transporte e telefone, fazer compras e preparar refeições.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apenas dirigir automóvel e operar máquinas.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qualquer atividade em que o paciente relate cansaço.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as atividades avaliadas diretamente pelos itens do Mini-Exame do Estado Mental.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 alternativa </w:t>
      </w:r>
      <w:r>
        <w:rPr>
          <w:b/>
          <w:bCs/>
        </w:rPr>
        <w:t xml:space="preserve">a</w:t>
      </w:r>
      <w:r>
        <w:t xml:space="preserve"> lista as atividades </w:t>
      </w:r>
      <w:r>
        <w:rPr>
          <w:b/>
          <w:bCs/>
        </w:rPr>
        <w:t xml:space="preserve">básicas</w:t>
      </w:r>
      <w:r>
        <w:t xml:space="preserve">, que se perdem mais tarde no curso e não são o que o critério examina no diagnóstico inicial.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Três perguntas que só a entrevista responde, e que nenhum teste substitui: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existe prejuízo funcional?</w:t>
      </w:r>
      <w:r>
        <w:t xml:space="preserve"> — sempre em relação ao que a pessoa fazia antes, e não a uma média;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quando começou e como andou?</w:t>
      </w:r>
      <w:r>
        <w:t xml:space="preserve"> — súbito ou insidioso, em degraus ou contínuo; é o dado que mais aponta etiologia;</w:t>
      </w:r>
    </w:p>
    <w:p>
      <w:pPr>
        <w:pStyle w:val="ListParagraph"/>
        <w:numPr>
          <w:ilvl w:val="0"/>
          <w:numId w:val="3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o que mais está em jogo?</w:t>
      </w:r>
      <w:r>
        <w:t xml:space="preserve"> — medicação, álcool, déficit sensorial não corrigido, dor, insônia, doença clínica descompensada.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e)</w:t>
      </w:r>
      <w:r>
        <w:t xml:space="preserve"> é exatamente o que o rastreio </w:t>
      </w:r>
      <w:r>
        <w:rPr>
          <w:b/>
          <w:bCs/>
        </w:rPr>
        <w:t xml:space="preserve">não</w:t>
      </w:r>
      <w:r>
        <w:t xml:space="preserve"> faz: não há, dentro do MEEM, nenhum item de funcionalidade. Há escalas de informante validadas para o Brasil para essa finalidade.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Quem é informante:</w:t>
      </w:r>
      <w:r>
        <w:t xml:space="preserve"> pessoa com convivência regular e anterior ao quadro. Não precisa ser familiar.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5 · estudo de caso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ler um MEEM contra a faixa de escolaridade correta.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Sr. Belmiro, 70 anos, 16 anos de escolaridade (mestrado), professor aposentado.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Lecionou por 35 anos; escrevia artigos e dava aulas sem roteiro, improvisando a partir de tópicos.</w:t>
      </w:r>
      <w:r>
        <w:br/>
        <w:t xml:space="preserve"/>
      </w:r>
      <w:r>
        <w:rPr>
          <w:b/>
          <w:bCs/>
        </w:rPr>
        <w:t xml:space="preserve">Queixa.</w:t>
      </w:r>
      <w:r>
        <w:t xml:space="preserve"> Trazida por ele próprio: "estou perdendo o fio". A esposa minimiza — "ele sempre foi distraído".</w:t>
      </w:r>
      <w:r>
        <w:br/>
        <w:t xml:space="preserve"/>
      </w:r>
      <w:r>
        <w:rPr>
          <w:b/>
          <w:bCs/>
        </w:rPr>
        <w:t xml:space="preserve">Mudanças no último ano.</w:t>
      </w:r>
      <w:r>
        <w:t xml:space="preserve"> Passou a escrever a aula inteira antes de apresentá-la; confere a agenda duas vezes ao dia; anota o que antes guardava de memória. Continua dirigindo, administra as finanças do casal e não errou nenhuma dose de medicação nem perdeu compromisso.</w:t>
      </w:r>
      <w:r>
        <w:br/>
        <w:t xml:space="preserve"/>
      </w:r>
      <w:r>
        <w:rPr>
          <w:b/>
          <w:bCs/>
        </w:rPr>
        <w:t xml:space="preserve">MEEM — parciais: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18"/>
        <w:gridCol w:w="1504"/>
        <w:gridCol w:w="1504"/>
      </w:tblGrid>
      <w:tr>
        <w:trPr>
          <w:tblHeader/>
        </w:trPr>
        <w:tc>
          <w:tcPr>
            <w:tcW w:type="dxa" w:w="601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Bloco</w:t>
            </w:r>
          </w:p>
        </w:tc>
        <w:tc>
          <w:tcPr>
            <w:tcW w:type="dxa" w:w="150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Máximo</w:t>
            </w:r>
          </w:p>
        </w:tc>
        <w:tc>
          <w:tcPr>
            <w:tcW w:type="dxa" w:w="150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Obtido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Orientação temporal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Orientação espacial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Memória imediata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Atenção e cálculo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Evocação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Nomeação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Repetição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Comando de três estágios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Leitura (executar)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Escrita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Cópia dos pentágonos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rPr>
          <w:b/>
          <w:bCs/>
        </w:rPr>
        <w:t xml:space="preserve">Resultado: MEEM = 28/30</w:t>
      </w:r>
      <w:r>
        <w:t xml:space="preserve">, com os 2 pontos perdidos na evocação. Ponto de corte para mais de 11 anos de estudo (Brucki et al., 2003): </w:t>
      </w:r>
      <w:r>
        <w:rPr>
          <w:b/>
          <w:bCs/>
        </w:rPr>
        <w:t xml:space="preserve">29</w:t>
      </w:r>
      <w:r>
        <w:t xml:space="preserve">.</w:t>
      </w:r>
    </w:p>
    <w:p>
      <w:pPr>
        <w:spacing w:after="130" w:line="276"/>
        <w:jc w:val="left"/>
      </w:pPr>
      <w:r>
        <w:t xml:space="preserve">Qual é a leitura correta?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28/30 é resultado normal — rastreio negativo, sem indicação de investigação.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O rastreio é positivo, pois 28 está abaixo do corte de 29 da faixa de escolaridade dele; o perfil é amnéstico, com perda restrita à evocação e atenção e cálculo intactos; e o nível é </w:t>
      </w:r>
      <w:r>
        <w:rPr>
          <w:b/>
          <w:bCs/>
        </w:rPr>
        <w:t xml:space="preserve">TNC leve</w:t>
      </w:r>
      <w:r>
        <w:t xml:space="preserve">, decidido pela funcionalidade — independência preservada, com mais esforço e mais estratégia.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perfil amnéstico autoriza fechar o subtipo etiológico como doença de Alzheimer provável.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Como a esposa minimiza a queixa, o achado deve ser atribuído à ansiedade do próprio paciente.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O rastreio é positivo, e o escore, por si, já estabelece o nível de TNC.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As cinco faixas de corte</w:t>
      </w:r>
      <w:r>
        <w:t xml:space="preserve"> (Brucki et al., 2003): analfabetos 20 · 1 a 4 anos 25 · 5 a 8 anos 26,5 · 9 a 11 anos 28 · mais de 11 anos 29. Corrigir é somar </w:t>
      </w:r>
      <w:r>
        <w:rPr>
          <w:b/>
          <w:bCs/>
        </w:rPr>
        <w:t xml:space="preserve">e</w:t>
      </w:r>
      <w:r>
        <w:t xml:space="preserve"> comparar com a faixa certa.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que este caso ensina: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28 "parece" ótimo e está abaixo do corte.</w:t>
      </w:r>
      <w:r>
        <w:t xml:space="preserve"> Quem usasse o antigo corte único de 24 passaria batido — é o </w:t>
      </w:r>
      <w:r>
        <w:rPr>
          <w:b/>
          <w:bCs/>
        </w:rPr>
        <w:t xml:space="preserve">efeito teto</w:t>
      </w:r>
      <w:r>
        <w:t xml:space="preserve"> do instrumento em pessoas de alta escolaridade, e a razão pela qual se desenvolveram rastreios mais sensíveis ao comprometimento leve.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O escore não decide o nível</w:t>
      </w:r>
      <w:r>
        <w:t xml:space="preserve"> (por isso </w:t>
      </w:r>
      <w:r>
        <w:rPr>
          <w:b/>
          <w:bCs/>
        </w:rPr>
        <w:t xml:space="preserve">e</w:t>
      </w:r>
      <w:r>
        <w:t xml:space="preserve"> erra). O que decide é o </w:t>
      </w:r>
      <w:r>
        <w:rPr>
          <w:b/>
          <w:bCs/>
        </w:rPr>
        <w:t xml:space="preserve">critério de funcionalidade</w:t>
      </w:r>
      <w:r>
        <w:t xml:space="preserve">: escrever a aula inteira onde antes improvisava e conferir a agenda duas vezes são </w:t>
      </w:r>
      <w:r>
        <w:rPr>
          <w:b/>
          <w:bCs/>
        </w:rPr>
        <w:t xml:space="preserve">estratégias compensatórias</w:t>
      </w:r>
      <w:r>
        <w:t xml:space="preserve"> que preservam a independência — ele dirige, administra o dinheiro e não errou dose nem compromisso.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Quem se queixa é ele, e a esposa minimiza</w:t>
      </w:r>
      <w:r>
        <w:t xml:space="preserve"> — o inverso do padrão típico do TNC maior. Isso não desqualifica a queixa (</w:t>
      </w:r>
      <w:r>
        <w:rPr>
          <w:b/>
          <w:bCs/>
        </w:rPr>
        <w:t xml:space="preserve">d</w:t>
      </w:r>
      <w:r>
        <w:t xml:space="preserve">), e a queixa do próprio paciente com alteração objetiva no teste satisfaz o critério de declínio.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c)</w:t>
      </w:r>
      <w:r>
        <w:t xml:space="preserve"> ultrapassa o que a vinheta permite: sem neuroimagem, marcador ou perfil clínico completo, o subtipo fica no máximo como "possível" — e no TNC leve o DSM-5 observa que com frequência o mais apropriado é "não especificado".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6 · estudo de caso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o mesmo raciocínio, no extremo oposto da escolaridade.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Dona Efigênia, 81 anos, 2 anos de escolaridade.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Lavadeira, depois cozinheira em escola até se aposentar. Viúva, mora com a filha.</w:t>
      </w:r>
      <w:r>
        <w:br/>
        <w:t xml:space="preserve"/>
      </w:r>
      <w:r>
        <w:rPr>
          <w:b/>
          <w:bCs/>
        </w:rPr>
        <w:t xml:space="preserve">Queixa.</w:t>
      </w:r>
      <w:r>
        <w:t xml:space="preserve"> Trazida pela filha. A paciente diz que "está tudo bem" e não reconhece dificuldade.</w:t>
      </w:r>
      <w:r>
        <w:br/>
        <w:t xml:space="preserve"/>
      </w:r>
      <w:r>
        <w:rPr>
          <w:b/>
          <w:bCs/>
        </w:rPr>
        <w:t xml:space="preserve">Mudanças nos últimos dois anos.</w:t>
      </w:r>
      <w:r>
        <w:t xml:space="preserve"> A filha assumiu as contas depois de duas faturas pagas em duplicata; passou a preparar a medicação em caixinha semanal após episódios de dose repetida; e assumiu a cozinha depois que a mãe deixou o fogo aceso duas vezes. Há três meses, desorientou-se a duas quadras de casa e foi trazida por uma vizinha.</w:t>
      </w:r>
      <w:r>
        <w:br/>
        <w:t xml:space="preserve"/>
      </w:r>
      <w:r>
        <w:rPr>
          <w:b/>
          <w:bCs/>
        </w:rPr>
        <w:t xml:space="preserve">MEEM — parciais: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18"/>
        <w:gridCol w:w="1504"/>
        <w:gridCol w:w="1504"/>
      </w:tblGrid>
      <w:tr>
        <w:trPr>
          <w:tblHeader/>
        </w:trPr>
        <w:tc>
          <w:tcPr>
            <w:tcW w:type="dxa" w:w="601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Bloco</w:t>
            </w:r>
          </w:p>
        </w:tc>
        <w:tc>
          <w:tcPr>
            <w:tcW w:type="dxa" w:w="150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Máximo</w:t>
            </w:r>
          </w:p>
        </w:tc>
        <w:tc>
          <w:tcPr>
            <w:tcW w:type="dxa" w:w="150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Obtido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Orientação temporal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Orientação espacial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4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Memória imediata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Atenção e cálculo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Evocação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0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Nomeação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Repetição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Comando de três estágios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Leitura (executar)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Escrita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</w:tr>
      <w:tr>
        <w:tc>
          <w:tcPr>
            <w:tcW w:type="dxa" w:w="60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Cópia dos pentágonos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150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0</w:t>
            </w: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rPr>
          <w:b/>
          <w:bCs/>
        </w:rPr>
        <w:t xml:space="preserve">Resultado: MEEM = 19/30.</w:t>
      </w:r>
      <w:r>
        <w:t xml:space="preserve"> Ponto de corte para 1 a 4 anos de estudo: </w:t>
      </w:r>
      <w:r>
        <w:rPr>
          <w:b/>
          <w:bCs/>
        </w:rPr>
        <w:t xml:space="preserve">25</w:t>
      </w:r>
      <w:r>
        <w:t xml:space="preserve"> — seis pontos abaixo.</w:t>
      </w:r>
    </w:p>
    <w:p>
      <w:pPr>
        <w:spacing w:after="130" w:line="276"/>
        <w:jc w:val="left"/>
      </w:pPr>
      <w:r>
        <w:t xml:space="preserve">Qual é a leitura correta?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TNC leve, já que a paciente mantém autocuidado e o escore está a poucos pontos do corte.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TNC maior — e o que decide não é o 19: é a perda de independência em atividades instrumentais (contas, medicação e preparo de refeição assumidos pela filha </w:t>
      </w:r>
      <w:r>
        <w:rPr>
          <w:b/>
          <w:bCs/>
        </w:rPr>
        <w:t xml:space="preserve">depois</w:t>
      </w:r>
      <w:r>
        <w:t xml:space="preserve"> dos erros), somada à desorientação em ambiente familiar.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Envelhecimento normal: com 2 anos de escolaridade, 19 pontos é o esperado.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Delirium, pelo episódio de desorientação na rua.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O escore de 19 é suficiente para o diagnóstico, o que dispensa a entrevista com informante.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b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 funcionalidade está perdida em </w:t>
      </w:r>
      <w:r>
        <w:rPr>
          <w:b/>
          <w:bCs/>
        </w:rPr>
        <w:t xml:space="preserve">três</w:t>
      </w:r>
      <w:r>
        <w:t xml:space="preserve"> atividades instrumentais, e em cada uma delas a transferência da tarefa veio </w:t>
      </w:r>
      <w:r>
        <w:rPr>
          <w:b/>
          <w:bCs/>
        </w:rPr>
        <w:t xml:space="preserve">depois</w:t>
      </w:r>
      <w:r>
        <w:t xml:space="preserve"> de um erro concreto — faturas em duplicata, doses repetidas, fogo aceso. Some-se o episódio de desorientação em ambiente familiar, que é bandeira vermelha, e a ausência de reconhecimento da própria dificuldade, sugestiva de anosognosia.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c</w:t>
      </w:r>
      <w:r>
        <w:rPr>
          <w:b/>
          <w:bCs/>
        </w:rPr>
        <w:t xml:space="preserve"> erra:</w:t>
      </w:r>
      <w:r>
        <w:t xml:space="preserve"> a escolaridade já está considerada no corte da faixa (25). Dizer que 19 é esperado para 2 anos de estudo é aplicar duas vezes a mesma correção — e apagar um achado real.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d</w:t>
      </w:r>
      <w:r>
        <w:rPr>
          <w:b/>
          <w:bCs/>
        </w:rPr>
        <w:t xml:space="preserve"> erra:</w:t>
      </w:r>
      <w:r>
        <w:t xml:space="preserve"> delirium se instala em horas a dias, com flutuação no mesmo dia e perturbação obrigatória da atenção. Aqui o curso é de dois anos, insidioso e progressivo.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e</w:t>
      </w:r>
      <w:r>
        <w:rPr>
          <w:b/>
          <w:bCs/>
        </w:rPr>
        <w:t xml:space="preserve"> erra:</w:t>
      </w:r>
      <w:r>
        <w:t xml:space="preserve"> é justamente o oposto. Nenhum item do MEEM mede funcionalidade; o critério que decidiu o nível veio inteiro da entrevista com a filha.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contraste com o caso anterior é o que importa: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t xml:space="preserve">28 e 19 estão </w:t>
      </w:r>
      <w:r>
        <w:rPr>
          <w:b/>
          <w:bCs/>
        </w:rPr>
        <w:t xml:space="preserve">ambos abaixo do corte</w:t>
      </w:r>
      <w:r>
        <w:t xml:space="preserve">, e ainda assim os níveis são diferentes;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t xml:space="preserve">o mesmo número significa coisas opostas em pessoas diferentes — 26 é rastreio </w:t>
      </w:r>
      <w:r>
        <w:rPr>
          <w:b/>
          <w:bCs/>
        </w:rPr>
        <w:t xml:space="preserve">negativo</w:t>
      </w:r>
      <w:r>
        <w:t xml:space="preserve"> para quem tem quatro anos de escola e </w:t>
      </w:r>
      <w:r>
        <w:rPr>
          <w:b/>
          <w:bCs/>
        </w:rPr>
        <w:t xml:space="preserve">positivo</w:t>
      </w:r>
      <w:r>
        <w:t xml:space="preserve"> para quem tem faculdade;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t xml:space="preserve">quem se queixa também muda: no maior, tipicamente o informante; no leve, com frequência o próprio paciente.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Cuidado a manter:</w:t>
      </w:r>
      <w:r>
        <w:t xml:space="preserve"> nenhum dos dois casos autoriza fechar etiologia.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7 · múltipla escolha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situar a queixa sem alteração objetiva.</w:t>
      </w:r>
    </w:p>
    <w:p>
      <w:pPr>
        <w:spacing w:after="130" w:line="276"/>
        <w:jc w:val="left"/>
      </w:pPr>
      <w:r>
        <w:t xml:space="preserve">Um paciente de 68 anos relata declínio persistente da própria memória, mas apresenta desempenho </w:t>
      </w:r>
      <w:r>
        <w:rPr>
          <w:b/>
          <w:bCs/>
        </w:rPr>
        <w:t xml:space="preserve">normal</w:t>
      </w:r>
      <w:r>
        <w:t xml:space="preserve"> em todos os domínios avaliados, com norma adequada à idade e à escolaridade. A leitura correta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trata-se de TNC leve, porque a queixa é persistente.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o quadro configura simulação.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trata-se de comprometimento cognitivo subjetivo: sem alteração no teste não há critério A, e a conduta é </w:t>
      </w:r>
      <w:r>
        <w:rPr>
          <w:b/>
          <w:bCs/>
        </w:rPr>
        <w:t xml:space="preserve">acompanhar</w:t>
      </w:r>
      <w:r>
        <w:t xml:space="preserve"> — sabendo que pode ser a primeira manifestação sintomática de um processo degenerativo, mas que a maior parte dos casos não evolui.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a queixa deve ser descartada, já que os testes estão normais.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deve-se repetir a bateria até que algum escore caia.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comprometimento cognitivo subjetivo </w:t>
      </w:r>
      <w:r>
        <w:rPr>
          <w:b/>
          <w:bCs/>
        </w:rPr>
        <w:t xml:space="preserve">não é categoria do DSM-5</w:t>
      </w:r>
      <w:r>
        <w:t xml:space="preserve"> — entra na discussão porque é o que costuma chegar primeiro ao consultório. Sem alteração objetiva, não há critério A; queixa não é diagnóstico.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Nem descartar (</w:t>
      </w:r>
      <w:r>
        <w:rPr>
          <w:b/>
          <w:bCs/>
        </w:rPr>
        <w:t xml:space="preserve">d</w:t>
      </w:r>
      <w:r>
        <w:t xml:space="preserve">), nem diagnosticar (</w:t>
      </w:r>
      <w:r>
        <w:rPr>
          <w:b/>
          <w:bCs/>
        </w:rPr>
        <w:t xml:space="preserve">a</w:t>
      </w:r>
      <w:r>
        <w:t xml:space="preserve">). A conduta é acompanhar, com intervalo definido, e </w:t>
      </w:r>
      <w:r>
        <w:rPr>
          <w:b/>
          <w:bCs/>
        </w:rPr>
        <w:t xml:space="preserve">tratar humor e sono</w:t>
      </w:r>
      <w:r>
        <w:t xml:space="preserve">, que são os dois maiores contaminantes da autoqueixa: ela se correlaciona mais com humor e ansiedade do que com desempenho.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Detalhe que muda o peso da queixa:</w:t>
      </w:r>
      <w:r>
        <w:t xml:space="preserve"> a queixa do </w:t>
      </w:r>
      <w:r>
        <w:rPr>
          <w:b/>
          <w:bCs/>
        </w:rPr>
        <w:t xml:space="preserve">informante</w:t>
      </w:r>
      <w:r>
        <w:t xml:space="preserve"> prediz melhor a evolução do que a do próprio paciente.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E a devolutiva importa:</w:t>
      </w:r>
      <w:r>
        <w:t xml:space="preserve"> "seus testes estão normais" não é resposta suficiente para quem procurou ajuda por sentir que piorou. A queixa é um dado, ainda que os escores não sejam.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8 · ENADE/ENEM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ler o perfil, e não a média.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Resultado da avaliação de um paciente de 72 anos, em desvios-padrão </w:t>
      </w:r>
      <w:r>
        <w:rPr>
          <w:b/>
          <w:bCs/>
        </w:rPr>
        <w:t xml:space="preserve">abaixo</w:t>
      </w:r>
      <w:r>
        <w:t xml:space="preserve"> da média do grupo normativo de mesma idade e escolaridade. Convenção de leitura: até −1 DP, dentro do esperado; de −1 a −2 DP, limítrofe; abaixo de −2 DP, rebaixado.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413"/>
        <w:gridCol w:w="4613"/>
      </w:tblGrid>
      <w:tr>
        <w:trPr>
          <w:tblHeader/>
        </w:trPr>
        <w:tc>
          <w:tcPr>
            <w:tcW w:type="dxa" w:w="441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Domínio</w:t>
            </w:r>
          </w:p>
        </w:tc>
        <w:tc>
          <w:tcPr>
            <w:tcW w:type="dxa" w:w="461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Desvios abaixo da média</w:t>
            </w:r>
          </w:p>
        </w:tc>
      </w:tr>
      <w:tr>
        <w:tc>
          <w:tcPr>
            <w:tcW w:type="dxa" w:w="4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Cognição social</w:t>
            </w:r>
          </w:p>
        </w:tc>
        <w:tc>
          <w:tcPr>
            <w:tcW w:type="dxa" w:w="46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0,2</w:t>
            </w:r>
          </w:p>
        </w:tc>
      </w:tr>
      <w:tr>
        <w:tc>
          <w:tcPr>
            <w:tcW w:type="dxa" w:w="4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Atenção complexa</w:t>
            </w:r>
          </w:p>
        </w:tc>
        <w:tc>
          <w:tcPr>
            <w:tcW w:type="dxa" w:w="46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0,5</w:t>
            </w:r>
          </w:p>
        </w:tc>
      </w:tr>
      <w:tr>
        <w:tc>
          <w:tcPr>
            <w:tcW w:type="dxa" w:w="4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Linguagem</w:t>
            </w:r>
          </w:p>
        </w:tc>
        <w:tc>
          <w:tcPr>
            <w:tcW w:type="dxa" w:w="46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0,9</w:t>
            </w:r>
          </w:p>
        </w:tc>
      </w:tr>
      <w:tr>
        <w:tc>
          <w:tcPr>
            <w:tcW w:type="dxa" w:w="4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Perceptomotor</w:t>
            </w:r>
          </w:p>
        </w:tc>
        <w:tc>
          <w:tcPr>
            <w:tcW w:type="dxa" w:w="46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1,1</w:t>
            </w:r>
          </w:p>
        </w:tc>
      </w:tr>
      <w:tr>
        <w:tc>
          <w:tcPr>
            <w:tcW w:type="dxa" w:w="4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Função executiva</w:t>
            </w:r>
          </w:p>
        </w:tc>
        <w:tc>
          <w:tcPr>
            <w:tcW w:type="dxa" w:w="46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1,6</w:t>
            </w:r>
          </w:p>
        </w:tc>
      </w:tr>
      <w:tr>
        <w:tc>
          <w:tcPr>
            <w:tcW w:type="dxa" w:w="4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Aprendizagem e memória</w:t>
            </w:r>
          </w:p>
        </w:tc>
        <w:tc>
          <w:tcPr>
            <w:tcW w:type="dxa" w:w="46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2,7</w:t>
            </w:r>
          </w:p>
        </w:tc>
      </w:tr>
    </w:tbl>
    <w:p>
      <w:pPr>
        <w:spacing w:after="150"/>
      </w:pPr>
    </w:p>
    <w:p>
      <w:pPr>
        <w:spacing w:after="130" w:line="276"/>
        <w:jc w:val="left"/>
      </w:pPr>
      <w:r>
        <w:t xml:space="preserve">A leitura correta desse resultado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o perfil é compatível com TNC com corpos de Lewy, pela alteração perceptomotora.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o escore de memória isoladamente já estabelece o diagnóstico de TNC maior.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paciente apresenta declínio global, já que a média dos seis domínios está abaixo de zero.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 resultado é inconclusivo, porque nenhum domínio atingiu −3 DP.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o perfil mostra memória </w:t>
      </w:r>
      <w:r>
        <w:rPr>
          <w:b/>
          <w:bCs/>
        </w:rPr>
        <w:t xml:space="preserve">rebaixada</w:t>
      </w:r>
      <w:r>
        <w:t xml:space="preserve"> com executivas </w:t>
      </w:r>
      <w:r>
        <w:rPr>
          <w:b/>
          <w:bCs/>
        </w:rPr>
        <w:t xml:space="preserve">limítrofes</w:t>
      </w:r>
      <w:r>
        <w:t xml:space="preserve"> e os demais domínios dentro do esperado — desenho amnéstico, que restringe as hipóteses etiológicas, sendo a doença de Alzheimer a mais compatível; a etiologia, porém, não se fecha só com isso.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resultado da testagem é um </w:t>
      </w:r>
      <w:r>
        <w:rPr>
          <w:b/>
          <w:bCs/>
        </w:rPr>
        <w:t xml:space="preserve">perfil</w:t>
      </w:r>
      <w:r>
        <w:t xml:space="preserve">, não um número — e é a </w:t>
      </w:r>
      <w:r>
        <w:rPr>
          <w:i/>
          <w:iCs/>
        </w:rPr>
        <w:t xml:space="preserve">forma</w:t>
      </w:r>
      <w:r>
        <w:t xml:space="preserve"> do perfil, não a média dela, que orienta a hipótese etiológica. Calcular a média dos seis domínios (</w:t>
      </w:r>
      <w:r>
        <w:rPr>
          <w:b/>
          <w:bCs/>
        </w:rPr>
        <w:t xml:space="preserve">c</w:t>
      </w:r>
      <w:r>
        <w:t xml:space="preserve">) apaga exatamente a informação útil.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Se a barra maior fosse a de </w:t>
      </w:r>
      <w:r>
        <w:rPr>
          <w:b/>
          <w:bCs/>
        </w:rPr>
        <w:t xml:space="preserve">atenção complexa</w:t>
      </w:r>
      <w:r>
        <w:t xml:space="preserve">, e ela </w:t>
      </w:r>
      <w:r>
        <w:rPr>
          <w:b/>
          <w:bCs/>
        </w:rPr>
        <w:t xml:space="preserve">oscilasse</w:t>
      </w:r>
      <w:r>
        <w:t xml:space="preserve"> entre as sessões, a hipótese seria outra — e é isso que torna </w:t>
      </w:r>
      <w:r>
        <w:rPr>
          <w:b/>
          <w:bCs/>
        </w:rPr>
        <w:t xml:space="preserve">a</w:t>
      </w:r>
      <w:r>
        <w:t xml:space="preserve"> incorreta: o achado perceptomotor aqui está dentro do esperado.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b)</w:t>
      </w:r>
      <w:r>
        <w:t xml:space="preserve"> ignora que o diagnóstico de nível exige o critério B, que nenhum escore fornece.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Nota sobre escore z:</w:t>
      </w:r>
      <w:r>
        <w:t xml:space="preserve"> −2 DP corresponde aproximadamente ao percentil 2 do grupo normativo </w:t>
      </w:r>
      <w:r>
        <w:rPr>
          <w:b/>
          <w:bCs/>
        </w:rPr>
        <w:t xml:space="preserve">de mesma idade e escolaridade</w:t>
      </w:r>
      <w:r>
        <w:t xml:space="preserve"> — sem a norma correta, o número não significa nada.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9 · afirmações corretas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associar lesão, região e domínio.</w:t>
      </w:r>
    </w:p>
    <w:p>
      <w:pPr>
        <w:spacing w:after="130" w:line="276"/>
        <w:jc w:val="left"/>
      </w:pPr>
      <w:r>
        <w:t xml:space="preserve">Sobre as etiologias dos transtornos neurocognitivos, considere: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Na doença de Alzheimer, as lesões são placas de beta-amiloide (fora do neurônio) e emaranhados de tau (dentro dele), com início no córtex entorrinal e hipocampo — daí a apresentação </w:t>
      </w:r>
      <w:r>
        <w:rPr>
          <w:b/>
          <w:bCs/>
        </w:rPr>
        <w:t xml:space="preserve">amnéstica</w:t>
      </w:r>
      <w:r>
        <w:t xml:space="preserve">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Na doença vascular, o que se rompe é o circuito córtico-subcortical, e o que cai primeiro é a velocidade de processamento e a função executiva.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Na degeneração frontotemporal, a memória e o domínio perceptomotor são relativamente poupados, e o que cai primeiro é a cognição social e a função executiva — ou a linguagem, nas variantes linguísticas.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No TNC com corpos de Lewy, a atenção complexa é afetada e </w:t>
      </w:r>
      <w:r>
        <w:rPr>
          <w:b/>
          <w:bCs/>
        </w:rPr>
        <w:t xml:space="preserve">oscila</w:t>
      </w:r>
      <w:r>
        <w:t xml:space="preserve">, com perfil visuoperceptivo marcado e memória menos afetada no começo.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No idoso, cada etiologia ocorre isoladamente, de modo que a identificação de uma delas exclui as demais.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I, II e V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I, III e V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III, IV e 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todas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I, II, III e IV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V é falsa: patologias mistas são a regra no idoso</w:t>
      </w:r>
      <w:r>
        <w:t xml:space="preserve">, e nesse caso o manual prevê o subtipo "devido a múltiplas etiologias".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Quadro-resumo: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62"/>
        <w:gridCol w:w="3337"/>
        <w:gridCol w:w="2579"/>
        <w:gridCol w:w="2048"/>
      </w:tblGrid>
      <w:tr>
        <w:trPr>
          <w:tblHeader/>
        </w:trPr>
        <w:tc>
          <w:tcPr>
            <w:tcW w:type="dxa" w:w="106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3337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 lesão</w:t>
            </w:r>
          </w:p>
        </w:tc>
        <w:tc>
          <w:tcPr>
            <w:tcW w:type="dxa" w:w="2579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As regiões</w:t>
            </w:r>
          </w:p>
        </w:tc>
        <w:tc>
          <w:tcPr>
            <w:tcW w:type="dxa" w:w="2048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O que cai primeiro</w:t>
            </w:r>
          </w:p>
        </w:tc>
      </w:tr>
      <w:tr>
        <w:tc>
          <w:tcPr>
            <w:tcW w:type="dxa" w:w="10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Alzheimer</w:t>
            </w:r>
          </w:p>
        </w:tc>
        <w:tc>
          <w:tcPr>
            <w:tcW w:type="dxa" w:w="3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placas de beta-amiloide e emaranhados de tau</w:t>
            </w:r>
          </w:p>
        </w:tc>
        <w:tc>
          <w:tcPr>
            <w:tcW w:type="dxa" w:w="25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entorrinal e hipocampo</w:t>
            </w:r>
          </w:p>
        </w:tc>
        <w:tc>
          <w:tcPr>
            <w:tcW w:type="dxa" w:w="204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aprendizagem e memória</w:t>
            </w:r>
          </w:p>
        </w:tc>
      </w:tr>
      <w:tr>
        <w:tc>
          <w:tcPr>
            <w:tcW w:type="dxa" w:w="10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Frontotemporal</w:t>
            </w:r>
          </w:p>
        </w:tc>
        <w:tc>
          <w:tcPr>
            <w:tcW w:type="dxa" w:w="3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degeneração lobar (tau, TDP-43 ou FET)</w:t>
            </w:r>
          </w:p>
        </w:tc>
        <w:tc>
          <w:tcPr>
            <w:tcW w:type="dxa" w:w="25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frontal medial e temporal anterior</w:t>
            </w:r>
          </w:p>
        </w:tc>
        <w:tc>
          <w:tcPr>
            <w:tcW w:type="dxa" w:w="204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cognição social e executiva</w:t>
            </w:r>
          </w:p>
        </w:tc>
      </w:tr>
      <w:tr>
        <w:tc>
          <w:tcPr>
            <w:tcW w:type="dxa" w:w="10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Vascular</w:t>
            </w:r>
          </w:p>
        </w:tc>
        <w:tc>
          <w:tcPr>
            <w:tcW w:type="dxa" w:w="3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infarto e lesão de substância branca</w:t>
            </w:r>
          </w:p>
        </w:tc>
        <w:tc>
          <w:tcPr>
            <w:tcW w:type="dxa" w:w="25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circuito córtico-subcortical</w:t>
            </w:r>
          </w:p>
        </w:tc>
        <w:tc>
          <w:tcPr>
            <w:tcW w:type="dxa" w:w="204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velocidade e executiva</w:t>
            </w:r>
          </w:p>
        </w:tc>
      </w:tr>
      <w:tr>
        <w:tc>
          <w:tcPr>
            <w:tcW w:type="dxa" w:w="10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Corpos de Lewy</w:t>
            </w:r>
          </w:p>
        </w:tc>
        <w:tc>
          <w:tcPr>
            <w:tcW w:type="dxa" w:w="3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agregados de alfa-sinucleína</w:t>
            </w:r>
          </w:p>
        </w:tc>
        <w:tc>
          <w:tcPr>
            <w:tcW w:type="dxa" w:w="25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occipital e nigroestriatal</w:t>
            </w:r>
          </w:p>
        </w:tc>
        <w:tc>
          <w:tcPr>
            <w:tcW w:type="dxa" w:w="204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atenção complexa, oscilante</w:t>
            </w:r>
          </w:p>
        </w:tc>
      </w:tr>
      <w:tr>
        <w:tc>
          <w:tcPr>
            <w:tcW w:type="dxa" w:w="10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Príon</w:t>
            </w:r>
          </w:p>
        </w:tc>
        <w:tc>
          <w:tcPr>
            <w:tcW w:type="dxa" w:w="3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proteína priônica mal enovelada</w:t>
            </w:r>
          </w:p>
        </w:tc>
        <w:tc>
          <w:tcPr>
            <w:tcW w:type="dxa" w:w="257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córtex, estriado e tálamo</w:t>
            </w:r>
          </w:p>
        </w:tc>
        <w:tc>
          <w:tcPr>
            <w:tcW w:type="dxa" w:w="204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tudo, em poucos meses</w:t>
            </w: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Leia a tabela da esquerda para a direita: </w:t>
      </w:r>
      <w:r>
        <w:rPr>
          <w:b/>
          <w:bCs/>
        </w:rPr>
        <w:t xml:space="preserve">a lesão explica a região, e a região explica o domínio</w:t>
      </w:r>
      <w:r>
        <w:t xml:space="preserve">. É esse encadeamento que se cobra, não a memorização das colunas.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10 · verdadeiro ou falso · médio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reconhecer os elementos de conduta no TNC com corpos de Lewy.</w:t>
      </w: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cognição oscila ao longo do dia, e alucinações visuais e parkinsonismo são achados característicos.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perfil cognitivo típico é amnéstico desde o início, com memória mais afetada que a atenção.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 sensibilidade a antipsicóticos pode produzir reação grave, o que faz desse dado uma informação de conduta relevante.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O transtorno comportamental do sono REM — em que a pessoa executa fisicamente o que sonha — é achado associado.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V.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— F.</w:t>
      </w:r>
      <w:r>
        <w:t xml:space="preserve"> O que predomina é </w:t>
      </w:r>
      <w:r>
        <w:rPr>
          <w:b/>
          <w:bCs/>
        </w:rPr>
        <w:t xml:space="preserve">atenção complexa oscilante</w:t>
      </w:r>
      <w:r>
        <w:t xml:space="preserve"> e perfil </w:t>
      </w:r>
      <w:r>
        <w:rPr>
          <w:b/>
          <w:bCs/>
        </w:rPr>
        <w:t xml:space="preserve">visuoperceptivo/visuoconstrutivo</w:t>
      </w:r>
      <w:r>
        <w:t xml:space="preserve">, com memória menos afetada no começo. O temporal medial é relativamente preservado, e o hipometabolismo occipital é um marcador característico.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III — V.</w:t>
      </w:r>
      <w:r>
        <w:t xml:space="preserve"> A sensibilidade neuroléptica ocorre em uma parcela expressiva dos casos e pode ser grave. É provavelmente o dado de maior consequência prática deste subtipo — inclusive para o que se registra e comunica no laudo.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V.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isso interessa ao neuropsicólogo:</w:t>
      </w:r>
      <w:r>
        <w:t xml:space="preserve"> a oscilação atencional pode fazer duas avaliações do mesmo paciente parecerem de pessoas diferentes. Registrar horário, estado de alerta e flutuação observada durante a sessão deixa de ser detalhe e vira dado diagnóstico.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11 · múltipla escolha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discriminar dois perfis pela resposta à pista.</w:t>
      </w:r>
    </w:p>
    <w:p>
      <w:pPr>
        <w:spacing w:after="130" w:line="276"/>
        <w:jc w:val="left"/>
      </w:pPr>
      <w:r>
        <w:t xml:space="preserve">Dois pacientes de 75 anos apresentam evocação livre igualmente baixa numa prova de memória verbal. O primeiro melhora substancialmente com pista e no reconhecimento; o segundo não melhora em nenhuma das duas condições. Considerando também que o primeiro tem lentificação marcada e prejuízo executivo, e o segundo tem atenção e velocidade preservadas, a leitura mais provável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o primeiro é compatível com perfil vascular/disexecutivo — falha de </w:t>
      </w:r>
      <w:r>
        <w:rPr>
          <w:b/>
          <w:bCs/>
        </w:rPr>
        <w:t xml:space="preserve">recuperação</w:t>
      </w:r>
      <w:r>
        <w:t xml:space="preserve">, com velocidade e executivas afetadas; o segundo é compatível com perfil amnéstico de tipo hipocampal — falha de </w:t>
      </w:r>
      <w:r>
        <w:rPr>
          <w:b/>
          <w:bCs/>
        </w:rPr>
        <w:t xml:space="preserve">armazenamento</w:t>
      </w:r>
      <w:r>
        <w:t xml:space="preserve">, o desenho esperado na doença de Alzheimer inicial.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o primeiro é compatível com doença de Alzheimer e o segundo com doença vascular.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a diferença entre eles só poderia ser estabelecida por neuroimagem.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os dois têm o mesmo perfil, com gravidades diferentes.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nenhum dos dois tem alteração de memória, já que a evocação livre é sensível a fatores inespecíficos.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raciocínio vem do paradigma de codificação controlada com evocação seletiva: quem </w:t>
      </w:r>
      <w:r>
        <w:rPr>
          <w:b/>
          <w:bCs/>
        </w:rPr>
        <w:t xml:space="preserve">melhora com a pista</w:t>
      </w:r>
      <w:r>
        <w:t xml:space="preserve"> tem problema de </w:t>
      </w:r>
      <w:r>
        <w:rPr>
          <w:b/>
          <w:bCs/>
        </w:rPr>
        <w:t xml:space="preserve">busca</w:t>
      </w:r>
      <w:r>
        <w:t xml:space="preserve">; quem </w:t>
      </w:r>
      <w:r>
        <w:rPr>
          <w:b/>
          <w:bCs/>
        </w:rPr>
        <w:t xml:space="preserve">não melhora</w:t>
      </w:r>
      <w:r>
        <w:t xml:space="preserve"> tem problema de </w:t>
      </w:r>
      <w:r>
        <w:rPr>
          <w:b/>
          <w:bCs/>
        </w:rPr>
        <w:t xml:space="preserve">armazenamento</w:t>
      </w:r>
      <w:r>
        <w:t xml:space="preserve">. A pista é uma manipulação experimental, não uma cortesia.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restante do quadro é convergente: no perfil vascular, a lesão de substância branca interrompe o circuito córtico-subcortical, e por isso a velocidade de processamento e o executivo caem primeiro — e a memória </w:t>
      </w:r>
      <w:r>
        <w:rPr>
          <w:b/>
          <w:bCs/>
        </w:rPr>
        <w:t xml:space="preserve">responde melhor à pista</w:t>
      </w:r>
      <w:r>
        <w:t xml:space="preserve"> do que no Alzheimer.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c)</w:t>
      </w:r>
      <w:r>
        <w:t xml:space="preserve"> é a alternativa mais tentadora e ainda assim errada: a neuroimagem é necessária para o subtipo </w:t>
      </w:r>
      <w:r>
        <w:rPr>
          <w:b/>
          <w:bCs/>
        </w:rPr>
        <w:t xml:space="preserve">provável</w:t>
      </w:r>
      <w:r>
        <w:t xml:space="preserve"> vascular (o manual exige lesão documentada ou evento cerebrovascular datado), mas o perfil neuropsicológico já discrimina os mecanismos — que é o que a questão pede.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12 · estudo de caso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reconhecer o quadro em que memória e rastreio não denunciam nada.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Sr. Ronaldo, 61 anos, 12 anos de escolaridade, gerente de logística.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Descrito pela família como "educado, reservado, cumpridor de horários" a vida inteira.</w:t>
      </w:r>
      <w:r>
        <w:br/>
        <w:t xml:space="preserve"/>
      </w:r>
      <w:r>
        <w:rPr>
          <w:b/>
          <w:bCs/>
        </w:rPr>
        <w:t xml:space="preserve">Mudanças nos últimos 18 meses.</w:t>
      </w:r>
      <w:r>
        <w:t xml:space="preserve"> Passou a fazer comentários constrangedores sobre a aparência de colegas; gastou parte da reserva do casal em compras por impulso; ri em situações inadequadas; perdeu o interesse pelos netos, de quem era muito próximo. Recebeu advertência no trabalho por não concluir projetos e por delegar sem critério. A esposa relata que ele "não parece se importar com nada disso".</w:t>
      </w:r>
      <w:r>
        <w:br/>
        <w:t xml:space="preserve"/>
      </w:r>
      <w:r>
        <w:rPr>
          <w:b/>
          <w:bCs/>
        </w:rPr>
        <w:t xml:space="preserve">Queixa própria.</w:t>
      </w:r>
      <w:r>
        <w:t xml:space="preserve"> Nenhuma. Comparece porque a esposa marcou.</w:t>
      </w:r>
      <w:r>
        <w:br/>
        <w:t xml:space="preserve"/>
      </w:r>
      <w:r>
        <w:rPr>
          <w:b/>
          <w:bCs/>
        </w:rPr>
        <w:t xml:space="preserve">Avaliação.</w:t>
      </w:r>
      <w:r>
        <w:t xml:space="preserve"> MEEM 29/30. Memória episódica dentro do esperado, com evocação e reconhecimento preservados. Rebaixamento marcado em provas de inibição, alternância e planejamento; desempenho baixo em reconhecimento de emoções em faces. Linguagem preservada. Rastreio de humor sem indicativo de episódio depressivo.</w:t>
      </w:r>
    </w:p>
    <w:p>
      <w:pPr>
        <w:spacing w:after="130" w:line="276"/>
        <w:jc w:val="left"/>
      </w:pPr>
      <w:r>
        <w:t xml:space="preserve">Qual é a hipótese mais compatível, e o que o caso demonstra sobre o rastreio?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Quadro compatível com variante </w:t>
      </w:r>
      <w:r>
        <w:rPr>
          <w:b/>
          <w:bCs/>
        </w:rPr>
        <w:t xml:space="preserve">comportamental</w:t>
      </w:r>
      <w:r>
        <w:t xml:space="preserve"> da degeneração frontotemporal: mudança de conduta e de cognição social com memória poupada; e o caso demonstra que o MEEM praticamente </w:t>
      </w:r>
      <w:r>
        <w:rPr>
          <w:b/>
          <w:bCs/>
        </w:rPr>
        <w:t xml:space="preserve">não avalia</w:t>
      </w:r>
      <w:r>
        <w:t xml:space="preserve"> cognição social e quase não toca a função executiva, podendo vir normal num quadro grave.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Envelhecimento normal, dado o MEEM de 29 e a memória preservada.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Transtorno de personalidade não diagnosticado previamente.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Episódio maníaco, pelas compras impulsivas e pela desinibição.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Doença de Alzheimer de início precoce, pela idade e pelo prejuízo executivo.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Três elementos sustentam a hipótese: </w:t>
      </w:r>
      <w:r>
        <w:rPr>
          <w:b/>
          <w:bCs/>
        </w:rPr>
        <w:t xml:space="preserve">mudança adquirida</w:t>
      </w:r>
      <w:r>
        <w:t xml:space="preserve"> de conduta em alguém com padrão prévio oposto, </w:t>
      </w:r>
      <w:r>
        <w:rPr>
          <w:b/>
          <w:bCs/>
        </w:rPr>
        <w:t xml:space="preserve">cognição social</w:t>
      </w:r>
      <w:r>
        <w:t xml:space="preserve"> rebaixada com memória preservada, e </w:t>
      </w:r>
      <w:r>
        <w:rPr>
          <w:b/>
          <w:bCs/>
        </w:rPr>
        <w:t xml:space="preserve">apatia/indiferença</w:t>
      </w:r>
      <w:r>
        <w:t xml:space="preserve"> diante das consequências. A degeneração frontotemporal é causa comum de TNC </w:t>
      </w:r>
      <w:r>
        <w:rPr>
          <w:b/>
          <w:bCs/>
        </w:rPr>
        <w:t xml:space="preserve">antes dos 65 anos</w:t>
      </w:r>
      <w:r>
        <w:t xml:space="preserve">, e cerca de 40% dos casos têm história familiar de TNC precoce — dado que vale perguntar na anamnese.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O que o caso ensina sobre o instrumento:</w:t>
      </w:r>
      <w:r>
        <w:t xml:space="preserve"> o MEEM não tem nenhum item de cognição social e quase nada de função executiva; não avalia abstração nem julgamento. Um 29/30 aqui é </w:t>
      </w:r>
      <w:r>
        <w:rPr>
          <w:b/>
          <w:bCs/>
        </w:rPr>
        <w:t xml:space="preserve">efeito teto</w:t>
      </w:r>
      <w:r>
        <w:t xml:space="preserve">, não ausência de doença.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Por que as demais falham: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c)</w:t>
      </w:r>
      <w:r>
        <w:t xml:space="preserve"> transtorno de personalidade é padrão estável desde a vida adulta jovem; aqui houve </w:t>
      </w:r>
      <w:r>
        <w:rPr>
          <w:b/>
          <w:bCs/>
        </w:rPr>
        <w:t xml:space="preserve">mudança marcada</w:t>
      </w:r>
      <w:r>
        <w:t xml:space="preserve"> num adulto de 61 anos, que é bandeira vermelha.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d)</w:t>
      </w:r>
      <w:r>
        <w:t xml:space="preserve"> faltam os elementos nucleares do episódio maníaco (alteração de humor com aumento persistente de energia e atividade, redução da necessidade de sono, curso episódico). O que há é apatia com desinibição — combinação que aponta para o frontal;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e)</w:t>
      </w:r>
      <w:r>
        <w:t xml:space="preserve"> o perfil do Alzheimer inicial é amnéstico, e aqui a memória está preservada;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13 · ENADE/ENEM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interpretar dois ajustes que aparecem na prática.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Situação 1.</w:t>
      </w:r>
      <w:r>
        <w:t xml:space="preserve"> Uma paciente com cegueira não consegue realizar os itens de </w:t>
      </w:r>
      <w:r>
        <w:rPr>
          <w:b/>
          <w:bCs/>
        </w:rPr>
        <w:t xml:space="preserve">leitura</w:t>
      </w:r>
      <w:r>
        <w:t xml:space="preserve">, </w:t>
      </w:r>
      <w:r>
        <w:rPr>
          <w:b/>
          <w:bCs/>
        </w:rPr>
        <w:t xml:space="preserve">escrita</w:t>
      </w:r>
      <w:r>
        <w:t xml:space="preserve"> e </w:t>
      </w:r>
      <w:r>
        <w:rPr>
          <w:b/>
          <w:bCs/>
        </w:rPr>
        <w:t xml:space="preserve">cópia</w:t>
      </w:r>
      <w:r>
        <w:t xml:space="preserve"> (3 pontos no total) e obteve </w:t>
      </w:r>
      <w:r>
        <w:rPr>
          <w:b/>
          <w:bCs/>
        </w:rPr>
        <w:t xml:space="preserve">15 pontos</w:t>
      </w:r>
      <w:r>
        <w:t xml:space="preserve"> nos itens que pôde realizar. Aplicando a correção proporcional recomendada — </w:t>
      </w:r>
      <w:r>
        <w:rPr>
          <w:b/>
          <w:bCs/>
        </w:rPr>
        <w:t xml:space="preserve">escore ajustado = (escore × 30) ÷ (30 − itens não realizados)</w:t>
      </w:r>
      <w:r>
        <w:t xml:space="preserve">, ou seja (15 × 30) ÷ 27 —, o </w:t>
      </w:r>
      <w:r>
        <w:rPr>
          <w:b/>
          <w:bCs/>
        </w:rPr>
        <w:t xml:space="preserve">escore ajustado é 17</w:t>
      </w:r>
      <w:r>
        <w:t xml:space="preserve">.</w:t>
      </w:r>
      <w:r>
        <w:br/>
        <w:t xml:space="preserve"/>
      </w:r>
      <w:r>
        <w:rPr>
          <w:b/>
          <w:bCs/>
        </w:rPr>
        <w:t xml:space="preserve">Situação 2.</w:t>
      </w:r>
      <w:r>
        <w:t xml:space="preserve"> Um paciente com diagnóstico de doença de Alzheimer e </w:t>
      </w:r>
      <w:r>
        <w:rPr>
          <w:b/>
          <w:bCs/>
        </w:rPr>
        <w:t xml:space="preserve">3 anos</w:t>
      </w:r>
      <w:r>
        <w:t xml:space="preserve"> de história de doença obteve </w:t>
      </w:r>
      <w:r>
        <w:rPr>
          <w:b/>
          <w:bCs/>
        </w:rPr>
        <w:t xml:space="preserve">MEEM = 20</w:t>
      </w:r>
      <w:r>
        <w:t xml:space="preserve">. Aplicando a estimativa de velocidade de progressão — </w:t>
      </w:r>
      <w:r>
        <w:rPr>
          <w:b/>
          <w:bCs/>
        </w:rPr>
        <w:t xml:space="preserve">(30 − MEEM inicial) ÷ anos de doença</w:t>
      </w:r>
      <w:r>
        <w:t xml:space="preserve"> —, o resultado é </w:t>
      </w:r>
      <w:r>
        <w:rPr>
          <w:b/>
          <w:bCs/>
        </w:rPr>
        <w:t xml:space="preserve">3,3 pontos por ano</w:t>
      </w:r>
      <w:r>
        <w:t xml:space="preserve">. Faixas de referência: menos de 2 pontos/ano, lenta · 2 a 4, intermediária · mais de 5, rápida.</w:t>
      </w:r>
    </w:p>
    <w:p>
      <w:pPr>
        <w:spacing w:after="130" w:line="276"/>
        <w:jc w:val="left"/>
      </w:pPr>
      <w:r>
        <w:t xml:space="preserve">A leitura correta desses dois resultados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na situação 2, 3,3 pontos por ano configura progressão rápida e obriga a revisar o diagnóstico.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na situação 1, o ajuste superestima o desempenho e deve ser evitado, já que itens não realizados simplesmente não pontuam.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os dois procedimentos só se aplicam a pacientes com deficiência sensorial documentada.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o ajuste devolve o escore à escala de 30 pontos e impede que a deficiência seja lida como déficit cognitivo — desde que a adaptação fique registrada; e 3,3 pontos por ano situa-se na faixa intermediária, próxima do declínio médio descrito na doença de Alzheimer, sendo portanto compatível com a evolução esperada.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nenhum dos dois resultados é interpretável sem neuroimagem.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Situação 1.</w:t>
      </w:r>
      <w:r>
        <w:t xml:space="preserve"> Sem o ajuste, os 15 pontos seriam comparados a um corte construído para quem pôde responder aos 30 itens — e a </w:t>
      </w:r>
      <w:r>
        <w:rPr>
          <w:b/>
          <w:bCs/>
        </w:rPr>
        <w:t xml:space="preserve">deficiência viraria déficit cognitivo no papel</w:t>
      </w:r>
      <w:r>
        <w:t xml:space="preserve">, que é exatamente o erro que a fórmula existe para evitar (o que derruba </w:t>
      </w:r>
      <w:r>
        <w:rPr>
          <w:b/>
          <w:bCs/>
        </w:rPr>
        <w:t xml:space="preserve">b</w:t>
      </w:r>
      <w:r>
        <w:t xml:space="preserve">). O mesmo raciocínio da aula 02: adaptação por deficiência física é legítima, desde que </w:t>
      </w:r>
      <w:r>
        <w:rPr>
          <w:b/>
          <w:bCs/>
        </w:rPr>
        <w:t xml:space="preserve">registrada</w:t>
      </w:r>
      <w:r>
        <w:t xml:space="preserve">, ou o reteste deixa de ser comparável.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Situação 2.</w:t>
      </w:r>
      <w:r>
        <w:t xml:space="preserve"> O declínio médio descrito na doença de Alzheimer é de cerca de </w:t>
      </w:r>
      <w:r>
        <w:rPr>
          <w:b/>
          <w:bCs/>
        </w:rPr>
        <w:t xml:space="preserve">3 pontos por ano</w:t>
      </w:r>
      <w:r>
        <w:t xml:space="preserve"> — daí 3,3 cair na faixa intermediária e não indicar, por si, nada de atípico (o que derruba </w:t>
      </w:r>
      <w:r>
        <w:rPr>
          <w:b/>
          <w:bCs/>
        </w:rPr>
        <w:t xml:space="preserve">a</w:t>
      </w:r>
      <w:r>
        <w:t xml:space="preserve">).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Duas leituras práticas do segundo cálculo:</w:t>
      </w:r>
      <w:r>
        <w:t xml:space="preserve"> um paciente que perde </w:t>
      </w:r>
      <w:r>
        <w:rPr>
          <w:b/>
          <w:bCs/>
        </w:rPr>
        <w:t xml:space="preserve">6 pontos em um ano</w:t>
      </w:r>
      <w:r>
        <w:t xml:space="preserve"> merece revisão do diagnóstico; um que </w:t>
      </w:r>
      <w:r>
        <w:rPr>
          <w:b/>
          <w:bCs/>
        </w:rPr>
        <w:t xml:space="preserve">não perde nada em três anos</w:t>
      </w:r>
      <w:r>
        <w:t xml:space="preserve">, também.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Um cuidado que a aula 03 já havia introduzido:</w:t>
      </w:r>
      <w:r>
        <w:t xml:space="preserve"> antes de atribuir a variação à doença, verifique o que mudou na prescrição entre as avaliações — parte da curva pode ser farmacológica.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Sobre estadiamento</w:t>
      </w:r>
      <w:r>
        <w:t xml:space="preserve"> (só quando a demência já está diagnosticada, e nunca para diagnosticar): 20 a 26, fase leve; 10 a 19, moderada; abaixo de 10, grave.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14 · afirmações corretas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saber o que um rastreio não responde.</w:t>
      </w:r>
    </w:p>
    <w:p>
      <w:pPr>
        <w:spacing w:after="130" w:line="276"/>
        <w:jc w:val="left"/>
      </w:pPr>
      <w:r>
        <w:t xml:space="preserve">Sobre os limites do Mini-Exame do Estado Mental, considere:</w:t>
      </w:r>
    </w:p>
    <w:p>
      <w:pPr>
        <w:spacing w:after="130" w:line="276"/>
        <w:jc w:val="left"/>
      </w:pPr>
      <w:r>
        <w:rPr>
          <w:b/>
          <w:bCs/>
        </w:rPr>
        <w:t xml:space="preserve">I.</w:t>
      </w:r>
      <w:r>
        <w:t xml:space="preserve"> </w:t>
      </w:r>
      <w:r>
        <w:rPr>
          <w:b/>
          <w:bCs/>
        </w:rPr>
        <w:t xml:space="preserve">Efeito solo</w:t>
      </w:r>
      <w:r>
        <w:t xml:space="preserve"> — na demência grave o escore chega a zero e para de cair, deixando de servir para acompanhamento.</w:t>
      </w:r>
      <w:r>
        <w:br/>
        <w:t xml:space="preserve"/>
      </w:r>
      <w:r>
        <w:rPr>
          <w:b/>
          <w:bCs/>
        </w:rPr>
        <w:t xml:space="preserve">II.</w:t>
      </w:r>
      <w:r>
        <w:t xml:space="preserve"> </w:t>
      </w:r>
      <w:r>
        <w:rPr>
          <w:b/>
          <w:bCs/>
        </w:rPr>
        <w:t xml:space="preserve">Efeito teto</w:t>
      </w:r>
      <w:r>
        <w:t xml:space="preserve"> — no TNC leve com alta escolaridade o resultado pode vir completamente normal.</w:t>
      </w:r>
      <w:r>
        <w:br/>
        <w:t xml:space="preserve"/>
      </w:r>
      <w:r>
        <w:rPr>
          <w:b/>
          <w:bCs/>
        </w:rPr>
        <w:t xml:space="preserve">III.</w:t>
      </w:r>
      <w:r>
        <w:t xml:space="preserve"> Não avalia abstração, julgamento nem cognição social, e quase não toca a função executiva.</w:t>
      </w:r>
      <w:r>
        <w:br/>
        <w:t xml:space="preserve"/>
      </w:r>
      <w:r>
        <w:rPr>
          <w:b/>
          <w:bCs/>
        </w:rPr>
        <w:t xml:space="preserve">IV.</w:t>
      </w:r>
      <w:r>
        <w:t xml:space="preserve"> Um ponto perdido na evocação já indica se a falha foi de atenção, de registro ou de busca.</w:t>
      </w:r>
      <w:r>
        <w:br/>
        <w:t xml:space="preserve"/>
      </w:r>
      <w:r>
        <w:rPr>
          <w:b/>
          <w:bCs/>
        </w:rPr>
        <w:t xml:space="preserve">V.</w:t>
      </w:r>
      <w:r>
        <w:t xml:space="preserve"> O instrumento não contém nenhum item de funcionalidade, e por isso não responde ao critério que separa TNC leve de maior.</w:t>
      </w:r>
    </w:p>
    <w:p>
      <w:pPr>
        <w:spacing w:after="130" w:line="276"/>
        <w:jc w:val="left"/>
      </w:pPr>
      <w:r>
        <w:t xml:space="preserve">Estão corretas apenas: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I, II e IV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todas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I, II, III e V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I, IV e V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II, III e IV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c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é falsa</w:t>
      </w:r>
      <w:r>
        <w:t xml:space="preserve">, e é o argumento central da aula: o rastreio entrega </w:t>
      </w:r>
      <w:r>
        <w:rPr>
          <w:b/>
          <w:bCs/>
        </w:rPr>
        <w:t xml:space="preserve">um número</w:t>
      </w:r>
      <w:r>
        <w:t xml:space="preserve">. As perguntas por trás dele continuam sendo trabalho da avaliação neuropsicológica: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memória ou atenção?</w:t>
      </w:r>
      <w:r>
        <w:t xml:space="preserve"> — o material chegou a entrar?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melhora com dica?</w:t>
      </w:r>
      <w:r>
        <w:t xml:space="preserve"> — o item estava guardado, ou não estava?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atenção ou controle inibitório?</w:t>
      </w:r>
      <w:r>
        <w:t xml:space="preserve"> — sustentar o foco, ou vencer o automático?</w:t>
      </w:r>
    </w:p>
    <w:p>
      <w:pPr>
        <w:pStyle w:val="ListParagraph"/>
        <w:numPr>
          <w:ilvl w:val="0"/>
          <w:numId w:val="4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esquecimento ou acesso lexical?</w:t>
      </w:r>
      <w:r>
        <w:t xml:space="preserve"> — memória episódica, ou linguagem?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Um 18 pode vir de amnésia, de desatenção, de anomia ou de lentificação. O MEEM não distingue — e cada uma dessas hipóteses leva a uma conduta diferente.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Foi por causa do efeito teto</w:t>
      </w:r>
      <w:r>
        <w:t xml:space="preserve"> que se desenvolveram instrumentos mais sensíveis ao comprometimento leve e à disfunção executiva.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15 · múltipla escolha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raciocinar sobre quadros sobrepostos.</w:t>
      </w:r>
    </w:p>
    <w:p>
      <w:pPr>
        <w:spacing w:after="130" w:line="276"/>
        <w:jc w:val="left"/>
      </w:pPr>
      <w:r>
        <w:t xml:space="preserve">Uma paciente de 84 anos com diagnóstico prévio de TNC maior é internada por infecção urinária. Em 24 horas apresenta piora acentuada da confusão, com agitação à noite e sonolência pela manhã, e perda da capacidade de manter o foco durante a entrevista. A leitura correta é: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a avaliação neuropsicológica formal deve ser realizada imediatamente, para documentar a piora.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trata-se da progressão natural do TNC maior, e não há conduta adicional.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diagnóstico prévio de TNC maior impede o diagnóstico de delirium.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trata-se de </w:t>
      </w:r>
      <w:r>
        <w:rPr>
          <w:b/>
          <w:bCs/>
        </w:rPr>
        <w:t xml:space="preserve">delirium sobreposto</w:t>
      </w:r>
      <w:r>
        <w:t xml:space="preserve"> ao TNC preexistente: a instalação em horas, a flutuação no mesmo dia e a perturbação da atenção definem o quadro agudo, que tem causa fisiológica identificada e exige conduta médica imediata.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trata-se de quadro psicótico de início muito tardio.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d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O critério do TNC exige apenas que os déficits </w:t>
      </w:r>
      <w:r>
        <w:rPr>
          <w:b/>
          <w:bCs/>
        </w:rPr>
        <w:t xml:space="preserve">não ocorram exclusivamente</w:t>
      </w:r>
      <w:r>
        <w:t xml:space="preserve"> durante o delirium — por isso os dois diagnósticos coexistem sem contradição, o que torna </w:t>
      </w:r>
      <w:r>
        <w:rPr>
          <w:b/>
          <w:bCs/>
        </w:rPr>
        <w:t xml:space="preserve">c</w:t>
      </w:r>
      <w:r>
        <w:t xml:space="preserve"> falsa.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b)</w:t>
      </w:r>
      <w:r>
        <w:t xml:space="preserve"> confunde curso agudo com curso progressivo: TNC maior não piora em 24 horas por conta própria. Piora aguda em paciente com demência é, até prova em contrário, causa clínica — infecção, fármaco, desidratação, dor, retenção urinária.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a)</w:t>
      </w:r>
      <w:r>
        <w:t xml:space="preserve"> é o erro de conduta mais comum de estagiários: testar durante o delirium produz dado inválido e cansa a paciente. O momento de avaliar é </w:t>
      </w:r>
      <w:r>
        <w:rPr>
          <w:b/>
          <w:bCs/>
        </w:rPr>
        <w:t xml:space="preserve">depois</w:t>
      </w:r>
      <w:r>
        <w:t xml:space="preserve"> da resolução do quadro agudo — e, se houver avaliação prévia, ela vira a linha de base contra a qual comparar.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16 · verdadeiro ou falso ·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consolidar o raciocínio que sustenta a avaliação.</w:t>
      </w:r>
    </w:p>
    <w:p>
      <w:pPr>
        <w:spacing w:after="130" w:line="276"/>
        <w:jc w:val="left"/>
      </w:pPr>
      <w:r>
        <w:t xml:space="preserve">Julgue como </w:t>
      </w:r>
      <w:r>
        <w:rPr>
          <w:b/>
          <w:bCs/>
        </w:rPr>
        <w:t xml:space="preserve">verdadeira (V)</w:t>
      </w:r>
      <w:r>
        <w:t xml:space="preserve"> ou </w:t>
      </w:r>
      <w:r>
        <w:rPr>
          <w:b/>
          <w:bCs/>
        </w:rPr>
        <w:t xml:space="preserve">falsa (F)</w:t>
      </w:r>
      <w:r>
        <w:t xml:space="preserve">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7826"/>
        <w:gridCol w:w="600"/>
      </w:tblGrid>
      <w:tr>
        <w:trPr>
          <w:tblHeader/>
        </w:trPr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  <w:tc>
          <w:tcPr>
            <w:tcW w:type="dxa" w:w="7826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Afirmação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V/F</w:t>
            </w: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Um escore baixo é o fim de uma cadeia causal, não o começo: a mesma pontuação em evocação livre pode vir de desatenção, de falha de armazenamento, de falha de busca ou de dificuldade de acesso à palavra.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Comparar evocação livre, evocação com pistas e reconhecimento é o procedimento que separa problema de busca de problema de armazenamento.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III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Atenção seletiva e controle inibitório são o mesmo construto, e por isso podem ser avaliados pelo mesmo item.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  <w:t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IV</w:t>
            </w:r>
          </w:p>
        </w:tc>
        <w:tc>
          <w:tcPr>
            <w:tcW w:type="dxa" w:w="78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Quem falha em nomear uma figura que está vendo tem, por definição, um problema de memória episódica.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</w:p>
        </w:tc>
      </w:tr>
    </w:tbl>
    <w:p>
      <w:pPr>
        <w:spacing w:after="150"/>
      </w:pP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 — V.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 — V.</w:t>
      </w:r>
      <w:r>
        <w:t xml:space="preserve"> É o paradigma de codificação controlada com evocação seletiva: se a pista recupera o item, ele estava guardado; se não recupera, não estava.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III — F.</w:t>
      </w:r>
      <w:r>
        <w:t xml:space="preserve"> São coisas diferentes: </w:t>
      </w:r>
      <w:r>
        <w:rPr>
          <w:b/>
          <w:bCs/>
        </w:rPr>
        <w:t xml:space="preserve">atenção seletiva</w:t>
      </w:r>
      <w:r>
        <w:t xml:space="preserve"> é manter o foco apesar do distrator; </w:t>
      </w:r>
      <w:r>
        <w:rPr>
          <w:b/>
          <w:bCs/>
        </w:rPr>
        <w:t xml:space="preserve">inibição</w:t>
      </w:r>
      <w:r>
        <w:t xml:space="preserve"> é escolher a resposta difícil em vez da automática — nomear a cor da fonte, e não a palavra escrita.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IV — F.</w:t>
      </w:r>
      <w:r>
        <w:t xml:space="preserve"> É o contrário: quem falha em nomear a figura que está </w:t>
      </w:r>
      <w:r>
        <w:rPr>
          <w:b/>
          <w:bCs/>
        </w:rPr>
        <w:t xml:space="preserve">vendo</w:t>
      </w:r>
      <w:r>
        <w:t xml:space="preserve"> tem </w:t>
      </w:r>
      <w:r>
        <w:rPr>
          <w:b/>
          <w:bCs/>
        </w:rPr>
        <w:t xml:space="preserve">anomia</w:t>
      </w:r>
      <w:r>
        <w:t xml:space="preserve"> — dificuldade específica para nomear, com compreensão preservada. Não há nada a esquecer ali; o problema é de linguagem, não de memória episódica. Nomeação por confrontação e fluência separam as duas hipóteses.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17 · estudo de caso · muito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resistir à conclusão diagnóstica quando o escore convida a ela.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rPr>
          <w:b/>
          <w:bCs/>
        </w:rPr>
        <w:t xml:space="preserve">Sr. Waldomiro, 77 anos, 3 anos de escolaridade, ex-lavrador, hoje na periferia da cidade.</w:t>
      </w:r>
      <w:r>
        <w:br/>
        <w:t xml:space="preserve"/>
      </w:r>
      <w:r>
        <w:rPr>
          <w:b/>
          <w:bCs/>
        </w:rPr>
        <w:t xml:space="preserve">Encaminhamento.</w:t>
      </w:r>
      <w:r>
        <w:t xml:space="preserve"> "Rastreio positivo — MEEM 22. Solicito avaliação para demência."</w:t>
      </w:r>
      <w:r>
        <w:br/>
        <w:t xml:space="preserve"/>
      </w:r>
      <w:r>
        <w:rPr>
          <w:b/>
          <w:bCs/>
        </w:rPr>
        <w:t xml:space="preserve">História de vida.</w:t>
      </w:r>
      <w:r>
        <w:t xml:space="preserve"> Trabalhou na roça desde os 9 anos; migrou aos 40. Nunca leu com fluência; assina o nome. Sempre morou em casa com quintal; mudou-se há um ano para um apartamento no bairro da filha, depois da morte da esposa.</w:t>
      </w:r>
      <w:r>
        <w:br/>
        <w:t xml:space="preserve"/>
      </w:r>
      <w:r>
        <w:rPr>
          <w:b/>
          <w:bCs/>
        </w:rPr>
        <w:t xml:space="preserve">Quadro atual.</w:t>
      </w:r>
      <w:r>
        <w:t xml:space="preserve"> Desde a mudança, refere desânimo, choro fácil, insônia inicial e perda de interesse por pescar e por consertar coisas — atividades que mantinha semanalmente. Perdeu 4 kg. Diz que "não serve mais pra nada aqui".</w:t>
      </w:r>
      <w:r>
        <w:br/>
        <w:t xml:space="preserve"/>
      </w:r>
      <w:r>
        <w:rPr>
          <w:b/>
          <w:bCs/>
        </w:rPr>
        <w:t xml:space="preserve">Sensorial.</w:t>
      </w:r>
      <w:r>
        <w:t xml:space="preserve"> Óculos com grau desatualizado; refere zumbido e pede repetição de instruções faladas.</w:t>
      </w:r>
      <w:r>
        <w:br/>
        <w:t xml:space="preserve"/>
      </w:r>
      <w:r>
        <w:rPr>
          <w:b/>
          <w:bCs/>
        </w:rPr>
        <w:t xml:space="preserve">Medicações.</w:t>
      </w:r>
      <w:r>
        <w:t xml:space="preserve"> Anti-hipertensivo, omeprazol e um "remédio para dormir" comprado sem receita, que a filha não sabe nomear.</w:t>
      </w:r>
      <w:r>
        <w:br/>
        <w:t xml:space="preserve"/>
      </w:r>
      <w:r>
        <w:rPr>
          <w:b/>
          <w:bCs/>
        </w:rPr>
        <w:t xml:space="preserve">Testagem.</w:t>
      </w:r>
      <w:r>
        <w:t xml:space="preserve"> Rebaixamento em atenção, velocidade e evocação livre; </w:t>
      </w:r>
      <w:r>
        <w:rPr>
          <w:b/>
          <w:bCs/>
        </w:rPr>
        <w:t xml:space="preserve">melhora expressiva com pista</w:t>
      </w:r>
      <w:r>
        <w:t xml:space="preserve">; nomeação, praxia e reconhecimento preservados. Latência aumentada; várias respostas "não sei", com acertos quando encorajado.</w:t>
      </w:r>
      <w:r>
        <w:br/>
        <w:t xml:space="preserve"/>
      </w:r>
      <w:r>
        <w:rPr>
          <w:b/>
          <w:bCs/>
        </w:rPr>
        <w:t xml:space="preserve">Funcionalidade.</w:t>
      </w:r>
      <w:r>
        <w:t xml:space="preserve"> A filha diz que ele "não faz mais nada". Detalhando: ela passou a preparar todas as refeições e a controlar os remédios "porque é mais prático"; ele não usa o transporte da cidade porque não conhece as linhas do novo bairro; e continua conferindo o troco, decidindo as próprias compras e cuidando da própria higiene.</w:t>
      </w:r>
    </w:p>
    <w:p>
      <w:pPr>
        <w:spacing w:after="130" w:line="276"/>
        <w:jc w:val="left"/>
      </w:pPr>
      <w:r>
        <w:t xml:space="preserve">Qual é a conduta correta neste momento?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Não fechar diagnóstico de TNC neste momento. O perfil (melhora com pista, "não sei", latência, início demarcado após perda e mudança), o quadro afetivo, a privação sensorial não corrigida e o hipnótico não identificado são hipóteses concorrentes plausíveis; e a perda funcional relatada é, em boa parte, </w:t>
      </w:r>
      <w:r>
        <w:rPr>
          <w:b/>
          <w:bCs/>
        </w:rPr>
        <w:t xml:space="preserve">restrição do ambiente</w:t>
      </w:r>
      <w:r>
        <w:t xml:space="preserve">, não perda de capacidade. Conduta: corrigir o sensorial, identificar e revisar a medicação com o prescritor, tratar humor e sono, detalhar a funcionalidade com o informante e </w:t>
      </w:r>
      <w:r>
        <w:rPr>
          <w:b/>
          <w:bCs/>
        </w:rPr>
        <w:t xml:space="preserve">reavaliar em 6 a 12 semanas</w:t>
      </w:r>
      <w:r>
        <w:t xml:space="preserve">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Encerrar a investigação como envelhecimento normal, já que a memória melhora com pista.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Concluir TNC leve, dado que o escore está abaixo do corte e a funcionalidade está apenas parcialmente comprometida.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Confirmar TNC maior: o MEEM de 22 está abaixo do corte da faixa dele, e a filha relata perda funcional.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Solicitar neuroimagem antes de qualquer outra medida, pois ela definirá o diagnóstico.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a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Este caso soma, de propósito, cinco camadas que a disciplina inteira vem treinando:</w:t>
      </w:r>
    </w:p>
    <w:p>
      <w:pPr>
        <w:pStyle w:val="ListParagraph"/>
        <w:numPr>
          <w:ilvl w:val="0"/>
          <w:numId w:val="5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Perfil compatível com quadro afetivo</w:t>
      </w:r>
      <w:r>
        <w:t xml:space="preserve"> — início demarcado no tempo, após viuvez e mudança de casa; queixa afetiva anterior à cognitiva; "não sei" com desistência; melhora com pista; reconhecimento preservado.</w:t>
      </w:r>
    </w:p>
    <w:p>
      <w:pPr>
        <w:pStyle w:val="ListParagraph"/>
        <w:numPr>
          <w:ilvl w:val="0"/>
          <w:numId w:val="5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Privação sensorial não corrigida</w:t>
      </w:r>
      <w:r>
        <w:t xml:space="preserve"> — óculos inadequados e queixa auditiva, com instruções faladas exigindo repetição. Isso rebaixa escore por via óptica e acústica, não cognitiva.</w:t>
      </w:r>
    </w:p>
    <w:p>
      <w:pPr>
        <w:pStyle w:val="ListParagraph"/>
        <w:numPr>
          <w:ilvl w:val="0"/>
          <w:numId w:val="5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Fármaco não identificado</w:t>
      </w:r>
      <w:r>
        <w:t xml:space="preserve"> — um hipnótico sem nome é uma variável aberta; sedativos e anticolinérgicos produzem rebaixamento que imita quadro degenerativo.</w:t>
      </w:r>
    </w:p>
    <w:p>
      <w:pPr>
        <w:pStyle w:val="ListParagraph"/>
        <w:numPr>
          <w:ilvl w:val="0"/>
          <w:numId w:val="5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Norma e letramento</w:t>
      </w:r>
      <w:r>
        <w:t xml:space="preserve"> — 3 anos de escolaridade e leitura não fluente pedem norma compatível e cautela com itens dependentes de letramento.</w:t>
      </w:r>
    </w:p>
    <w:p>
      <w:pPr>
        <w:pStyle w:val="ListParagraph"/>
        <w:numPr>
          <w:ilvl w:val="0"/>
          <w:numId w:val="5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Funcionalidade mal caracterizada</w:t>
      </w:r>
      <w:r>
        <w:t xml:space="preserve"> — "não faz mais nada" desmancha ao ser detalhado: preparar refeição e controlar remédio foram </w:t>
      </w:r>
      <w:r>
        <w:rPr>
          <w:b/>
          <w:bCs/>
        </w:rPr>
        <w:t xml:space="preserve">assumidos pela filha por conveniência</w:t>
      </w:r>
      <w:r>
        <w:t xml:space="preserve">; o transporte não é usado por desconhecimento de um bairro novo, não por incapacidade; e ele confere troco, decide compras e cuida da higiene.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d</w:t>
      </w:r>
      <w:r>
        <w:rPr>
          <w:b/>
          <w:bCs/>
        </w:rPr>
        <w:t xml:space="preserve"> e </w:t>
      </w:r>
      <w:r>
        <w:t xml:space="preserve">c</w:t>
      </w:r>
      <w:r>
        <w:rPr>
          <w:b/>
          <w:bCs/>
        </w:rPr>
        <w:t xml:space="preserve"> erram do mesmo jeito:</w:t>
      </w:r>
      <w:r>
        <w:t xml:space="preserve"> ambas convertem escore em diagnóstico e aceitam a descrição funcional sem interrogá-la. O critério B pergunta </w:t>
      </w:r>
      <w:r>
        <w:rPr>
          <w:b/>
          <w:bCs/>
        </w:rPr>
        <w:t xml:space="preserve">o que ele deixou de conseguir</w:t>
      </w:r>
      <w:r>
        <w:t xml:space="preserve">, não o que deixaram de deixá-lo fazer.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b</w:t>
      </w:r>
      <w:r>
        <w:rPr>
          <w:b/>
          <w:bCs/>
        </w:rPr>
        <w:t xml:space="preserve"> erra na direção oposta:</w:t>
      </w:r>
      <w:r>
        <w:t xml:space="preserve"> melhora com pista aponta mecanismo (recuperação), não ausência de problema. Há sofrimento, perda de peso, insônia e anedonia — há muito o que tratar.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Por que </w:t>
      </w:r>
      <w:r>
        <w:t xml:space="preserve">e</w:t>
      </w:r>
      <w:r>
        <w:rPr>
          <w:b/>
          <w:bCs/>
        </w:rPr>
        <w:t xml:space="preserve"> erra de método:</w:t>
      </w:r>
      <w:r>
        <w:t xml:space="preserve"> neuroimagem não define a síndrome. Primeiro a síndrome, depois a etiologia — e nem sequer se estabeleceu, aqui, que há síndrome.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E vale dizer o que se escreve no laudo:</w:t>
      </w:r>
      <w:r>
        <w:t xml:space="preserve"> avaliação inconclusiva neste momento, com as hipóteses concorrentes nomeadas, o que foi encaminhado e a data da reavaliação. Isso é conclusão, não omissão.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  <w:spacing w:after="140" w:before="320"/>
      </w:pPr>
      <w:r>
        <w:t xml:space="preserve">Questão 18 · ENADE/ENEM · muito difícil</w:t>
      </w:r>
    </w:p>
    <w:p>
      <w:pPr>
        <w:spacing w:after="130" w:line="276"/>
        <w:jc w:val="left"/>
      </w:pPr>
      <w:r>
        <w:rPr>
          <w:b/>
          <w:bCs/>
        </w:rPr>
        <w:t xml:space="preserve">Objetivo</w:t>
      </w:r>
      <w:r>
        <w:t xml:space="preserve"> compreender a estrutura do diagnóstico completo.</w:t>
      </w:r>
    </w:p>
    <w:p>
      <w:pPr>
        <w:pBdr>
          <w:left w:val="single" w:color="9A9A9A" w:sz="18" w:space="12"/>
        </w:pBdr>
        <w:shd w:fill="F7F7F7" w:color="auto" w:val="clear"/>
        <w:spacing w:after="160" w:before="120" w:line="276"/>
        <w:ind w:left="280" w:right="280"/>
      </w:pPr>
      <w:r>
        <w:t xml:space="preserve">No DSM-5, o diagnóstico de um transtorno neurocognitivo é composto por três partes: o </w:t>
      </w:r>
      <w:r>
        <w:rPr>
          <w:b/>
          <w:bCs/>
        </w:rPr>
        <w:t xml:space="preserve">nível</w:t>
      </w:r>
      <w:r>
        <w:t xml:space="preserve"> (leve ou maior), a </w:t>
      </w:r>
      <w:r>
        <w:rPr>
          <w:b/>
          <w:bCs/>
        </w:rPr>
        <w:t xml:space="preserve">etiologia</w:t>
      </w:r>
      <w:r>
        <w:t xml:space="preserve"> (o subtipo) e o </w:t>
      </w:r>
      <w:r>
        <w:rPr>
          <w:b/>
          <w:bCs/>
        </w:rPr>
        <w:t xml:space="preserve">grau de certeza</w:t>
      </w:r>
      <w:r>
        <w:t xml:space="preserve"> (provável ou possível). A designação de "provável" exige evidência forte — mutação causal identificada, evidência de neuroimagem ou o perfil clínico característico completo. Sem essas evidências, o subtipo permanece como "possível". No nível leve, o manual observa que com frequência o mais apropriado é o subtipo "não especificado".</w:t>
      </w:r>
    </w:p>
    <w:p>
      <w:pPr>
        <w:spacing w:after="130" w:line="276"/>
        <w:jc w:val="left"/>
      </w:pPr>
      <w:r>
        <w:t xml:space="preserve">Com base nesse trecho, é correto afirmar que:</w:t>
      </w:r>
    </w:p>
    <w:p>
      <w:pPr>
        <w:spacing w:after="130" w:line="276"/>
        <w:jc w:val="left"/>
      </w:pPr>
      <w:r>
        <w:rPr>
          <w:b/>
          <w:bCs/>
        </w:rPr>
        <w:t xml:space="preserve">a)</w:t>
      </w:r>
      <w:r>
        <w:t xml:space="preserve"> no TNC leve, a designação "provável" é a regra, por ser a fase em que os marcadores são mais claros.</w:t>
      </w:r>
      <w:r>
        <w:br/>
        <w:t xml:space="preserve"/>
      </w:r>
      <w:r>
        <w:rPr>
          <w:b/>
          <w:bCs/>
        </w:rPr>
        <w:t xml:space="preserve">b)</w:t>
      </w:r>
      <w:r>
        <w:t xml:space="preserve"> a existência de múltiplas etiologias simultâneas foi excluída do manual, por comprometer a especificidade do diagnóstico.</w:t>
      </w:r>
      <w:r>
        <w:br/>
        <w:t xml:space="preserve"/>
      </w:r>
      <w:r>
        <w:rPr>
          <w:b/>
          <w:bCs/>
        </w:rPr>
        <w:t xml:space="preserve">c)</w:t>
      </w:r>
      <w:r>
        <w:t xml:space="preserve"> o grau de certeza depende exclusivamente de confirmação por necropsia, sendo irrelevante em vida.</w:t>
      </w:r>
      <w:r>
        <w:br/>
        <w:t xml:space="preserve"/>
      </w:r>
      <w:r>
        <w:rPr>
          <w:b/>
          <w:bCs/>
        </w:rPr>
        <w:t xml:space="preserve">d)</w:t>
      </w:r>
      <w:r>
        <w:t xml:space="preserve"> identificar a etiologia altera o diagnóstico de base, que deixa de ser TNC leve ou maior.</w:t>
      </w:r>
      <w:r>
        <w:br/>
        <w:t xml:space="preserve"/>
      </w:r>
      <w:r>
        <w:rPr>
          <w:b/>
          <w:bCs/>
        </w:rPr>
        <w:t xml:space="preserve">e)</w:t>
      </w:r>
      <w:r>
        <w:t xml:space="preserve"> a estrutura implica que a </w:t>
      </w:r>
      <w:r>
        <w:rPr>
          <w:b/>
          <w:bCs/>
        </w:rPr>
        <w:t xml:space="preserve">síndrome vem antes da causa</w:t>
      </w:r>
      <w:r>
        <w:t xml:space="preserve">: primeiro se estabelece o nível, depois se acrescenta o subtipo etiológico e, por fim, o grau de certeza — de modo que uma avaliação neuropsicológica pode sustentar o nível e apenas </w:t>
      </w:r>
      <w:r>
        <w:rPr>
          <w:b/>
          <w:bCs/>
        </w:rPr>
        <w:t xml:space="preserve">levantar hipótese</w:t>
      </w:r>
      <w:r>
        <w:t xml:space="preserve"> sobre a etiologia quando faltam marcadores.</w:t>
      </w:r>
    </w:p>
    <w:p>
      <w:pPr>
        <w:pBdr>
          <w:left w:val="single" w:color="BFBFBF" w:sz="12" w:space="10"/>
        </w:pBdr>
        <w:shd w:fill="F2F2F2" w:color="auto" w:val="clear"/>
        <w:spacing w:after="110" w:before="60"/>
        <w:ind w:left="360"/>
      </w:pPr>
      <w:r>
        <w:rPr>
          <w:b/>
          <w:bCs/>
          <w:caps/>
          <w:sz w:val="18"/>
          <w:szCs w:val="18"/>
        </w:rPr>
        <w:t xml:space="preserve">Gabarito e comentário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Gabarito: e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t xml:space="preserve">A ordem do raciocínio clínico espelha a estrutura do diagnóstico: queixa → nível prévio de desempenho (escolaridade e ocupação) → início e curso → comorbidades e medicações → testagem dos domínios com norma adequada → funcionalidade com informante → diferencial → e </w:t>
      </w:r>
      <w:r>
        <w:rPr>
          <w:b/>
          <w:bCs/>
        </w:rPr>
        <w:t xml:space="preserve">só então</w:t>
      </w:r>
      <w:r>
        <w:t xml:space="preserve"> a etiologia. A sequência não é de mão única: um achado da história muda a hipótese e faz o caminho voltar atrás.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a)</w:t>
      </w:r>
      <w:r>
        <w:t xml:space="preserve"> inverte: é no nível </w:t>
      </w:r>
      <w:r>
        <w:rPr>
          <w:b/>
          <w:bCs/>
        </w:rPr>
        <w:t xml:space="preserve">leve</w:t>
      </w:r>
      <w:r>
        <w:t xml:space="preserve"> que a confirmação costuma faltar, e o manual reconhece que "não especificado" é frequentemente o mais apropriado.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b)</w:t>
      </w:r>
      <w:r>
        <w:t xml:space="preserve"> contraria o subtipo "devido a múltiplas etiologias", que existe precisamente porque </w:t>
      </w:r>
      <w:r>
        <w:rPr>
          <w:b/>
          <w:bCs/>
        </w:rPr>
        <w:t xml:space="preserve">patologias mistas são a regra no idoso</w:t>
      </w:r>
      <w:r>
        <w:t xml:space="preserve">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c)</w:t>
      </w:r>
      <w:r>
        <w:t xml:space="preserve"> exagera um fato verdadeiro. É correto que a confirmação definitiva de várias etiologias só venha por biópsia ou necropsia, mas o manual opera em vida com "provável/possível" justamente por isso.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10"/>
        </w:pBdr>
        <w:spacing w:after="70" w:line="276"/>
      </w:pPr>
      <w:r>
        <w:rPr>
          <w:b/>
          <w:bCs/>
        </w:rPr>
        <w:t xml:space="preserve">d)</w:t>
      </w:r>
      <w:r>
        <w:t xml:space="preserve"> confunde acréscimo com substituição: uma causa nomeada não muda a síndrome; o diagnóstico de base continua sendo TNC leve ou maior.</w:t>
      </w:r>
    </w:p>
    <w:p>
      <w:pPr>
        <w:pBdr>
          <w:left w:val="single" w:color="BFBFBF" w:sz="12" w:space="10"/>
        </w:pBdr>
        <w:spacing w:after="130" w:line="276"/>
        <w:ind w:left="360"/>
        <w:jc w:val="left"/>
      </w:pPr>
      <w:r>
        <w:rPr>
          <w:b/>
          <w:bCs/>
        </w:rPr>
        <w:t xml:space="preserve">As três coisas que ficam da aula:</w:t>
      </w:r>
    </w:p>
    <w:p>
      <w:pPr>
        <w:pStyle w:val="ListParagraph"/>
        <w:numPr>
          <w:ilvl w:val="0"/>
          <w:numId w:val="6"/>
        </w:numPr>
        <w:pBdr>
          <w:left w:val="single" w:color="BFBFBF" w:sz="12" w:space="10"/>
        </w:pBdr>
        <w:spacing w:after="70" w:line="276"/>
      </w:pPr>
      <w:r>
        <w:t xml:space="preserve">a síndrome vem antes da causa;</w:t>
      </w:r>
    </w:p>
    <w:p>
      <w:pPr>
        <w:pStyle w:val="ListParagraph"/>
        <w:numPr>
          <w:ilvl w:val="0"/>
          <w:numId w:val="6"/>
        </w:numPr>
        <w:pBdr>
          <w:left w:val="single" w:color="BFBFBF" w:sz="12" w:space="10"/>
        </w:pBdr>
        <w:spacing w:after="70" w:line="276"/>
      </w:pPr>
      <w:r>
        <w:t xml:space="preserve">o que separa leve de maior é a independência, que vem da entrevista com o informante;</w:t>
      </w:r>
    </w:p>
    <w:p>
      <w:pPr>
        <w:pStyle w:val="ListParagraph"/>
        <w:numPr>
          <w:ilvl w:val="0"/>
          <w:numId w:val="6"/>
        </w:numPr>
        <w:pBdr>
          <w:left w:val="single" w:color="BFBFBF" w:sz="12" w:space="10"/>
        </w:pBdr>
        <w:spacing w:after="70" w:line="276"/>
      </w:pPr>
      <w:r>
        <w:t xml:space="preserve">um escore baixo tem muitas origens, e separá-las é o trabalho do neuropsicólogo — nenhum rastreio faz isso.</w:t>
      </w:r>
    </w:p>
    <w:p>
      <w:pPr>
        <w:spacing w:after="6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3"/>
        <w:spacing w:after="140" w:before="320"/>
      </w:pPr>
      <w:r>
        <w:t xml:space="preserve">Chave rápida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64"/>
        <w:gridCol w:w="600"/>
        <w:gridCol w:w="1962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2264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Questão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962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>
            <w:tcW w:type="dxa" w:w="22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Gabarito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  <w:tc>
          <w:tcPr>
            <w:tcW w:type="dxa" w:w="196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V, F, V, V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b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20"/>
        <w:gridCol w:w="1703"/>
        <w:gridCol w:w="600"/>
        <w:gridCol w:w="600"/>
        <w:gridCol w:w="600"/>
        <w:gridCol w:w="600"/>
        <w:gridCol w:w="600"/>
        <w:gridCol w:w="1703"/>
        <w:gridCol w:w="600"/>
        <w:gridCol w:w="600"/>
      </w:tblGrid>
      <w:tr>
        <w:trPr>
          <w:tblHeader/>
        </w:trPr>
        <w:tc>
          <w:tcPr>
            <w:tcW w:type="dxa" w:w="142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Questão</w:t>
            </w:r>
          </w:p>
        </w:tc>
        <w:tc>
          <w:tcPr>
            <w:tcW w:type="dxa" w:w="170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1703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6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18</w:t>
            </w:r>
          </w:p>
        </w:tc>
      </w:tr>
      <w:tr>
        <w:tc>
          <w:tcPr>
            <w:tcW w:type="dxa" w:w="1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Gabarito</w:t>
            </w:r>
          </w:p>
        </w:tc>
        <w:tc>
          <w:tcPr>
            <w:tcW w:type="dxa" w:w="17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V, F, V, V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</w:t>
            </w:r>
          </w:p>
        </w:tc>
        <w:tc>
          <w:tcPr>
            <w:tcW w:type="dxa" w:w="170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V, V, F, F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</w:t>
            </w:r>
          </w:p>
        </w:tc>
      </w:tr>
    </w:tbl>
    <w:p>
      <w:pPr>
        <w:spacing w:after="15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260"/>
      </w:pPr>
    </w:lvl>
    <w:lvl w:ilvl="1" w15:tentative="1">
      <w:start w:val="1"/>
      <w:numFmt w:val="bullet"/>
      <w:lvlText w:val="◦"/>
      <w:lvlJc w:val="left"/>
      <w:pPr>
        <w:ind w:left="1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A2A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A2A2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questões · Aula 04 — Transtornos neurocognitivos</dc:title>
  <dc:creator>Neuropsicologia II · FASM</dc:creator>
  <cp:lastModifiedBy>Un-named</cp:lastModifiedBy>
  <cp:revision>1</cp:revision>
  <dcterms:created xsi:type="dcterms:W3CDTF">2026-09-20T18:43:59.925Z</dcterms:created>
  <dcterms:modified xsi:type="dcterms:W3CDTF">2026-09-20T18:43:59.926Z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