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pPr>
      <w:r>
        <w:rPr>
          <w:b/>
          <w:i w:val="0"/>
          <w:color w:val="1D3E6E"/>
          <w:sz w:val="17"/>
        </w:rPr>
        <w:t>FASM · Neuropsicologia II</w:t>
      </w:r>
      <w:r>
        <w:rPr>
          <w:b w:val="0"/>
          <w:i w:val="0"/>
          <w:color w:val="4A4A45"/>
          <w:sz w:val="17"/>
        </w:rPr>
        <w:t xml:space="preserve">     Aula 04 — Transtornos neurocognitivos</w:t>
      </w:r>
    </w:p>
    <w:p>
      <w:pPr>
        <w:spacing w:after="40" w:before="0"/>
      </w:pPr>
      <w:r>
        <w:rPr>
          <w:b/>
          <w:i w:val="0"/>
          <w:color w:val="1D3E6E"/>
          <w:sz w:val="19"/>
        </w:rPr>
        <w:t>Vinheta clínica 2</w:t>
      </w:r>
    </w:p>
    <w:p>
      <w:pPr>
        <w:spacing w:after="80" w:before="0"/>
      </w:pPr>
      <w:r>
        <w:rPr>
          <w:b/>
          <w:i w:val="0"/>
          <w:sz w:val="30"/>
        </w:rPr>
        <w:t>Sr. Wilson, 73 anos, professor de História aposentado</w:t>
      </w:r>
    </w:p>
    <w:p>
      <w:pPr>
        <w:spacing w:after="200" w:before="0"/>
      </w:pPr>
      <w:r>
        <w:rPr>
          <w:b w:val="0"/>
          <w:i w:val="0"/>
          <w:color w:val="4A4A45"/>
          <w:sz w:val="24"/>
        </w:rPr>
        <w:t>Procurou a clínica por conta própria, dizendo que “a memória não está a mesma”. A esposa acha que ele “está exagerando”.</w:t>
      </w:r>
    </w:p>
    <w:p>
      <w:pPr>
        <w:spacing w:after="80" w:before="0"/>
      </w:pPr>
      <w:r>
        <w:rPr>
          <w:b w:val="0"/>
          <w:i w:val="0"/>
          <w:color w:val="4A4A45"/>
          <w:sz w:val="24"/>
        </w:rPr>
        <w:t>Data: ____ / ____ / ______</w:t>
      </w:r>
    </w:p>
    <w:p>
      <w:pPr>
        <w:spacing w:after="40" w:before="0"/>
      </w:pPr>
      <w:r>
        <w:rPr>
          <w:b w:val="0"/>
          <w:i w:val="0"/>
          <w:color w:val="4A4A45"/>
          <w:sz w:val="24"/>
        </w:rPr>
        <w:t>Integrantes:</w:t>
      </w:r>
    </w:p>
    <w:p>
      <w:pPr>
        <w:spacing w:after="40" w:before="0"/>
      </w:pPr>
      <w:r>
        <w:rPr>
          <w:b w:val="0"/>
          <w:i w:val="0"/>
          <w:color w:val="4A4A45"/>
        </w:rPr>
        <w:t>-</w:t>
      </w:r>
    </w:p>
    <w:p>
      <w:pPr>
        <w:spacing w:after="40" w:before="0"/>
      </w:pPr>
      <w:r>
        <w:rPr>
          <w:b w:val="0"/>
          <w:i w:val="0"/>
          <w:color w:val="4A4A45"/>
        </w:rPr>
        <w:t>-</w:t>
      </w:r>
    </w:p>
    <w:p>
      <w:pPr>
        <w:spacing w:after="40" w:before="0"/>
      </w:pPr>
      <w:r>
        <w:rPr>
          <w:b w:val="0"/>
          <w:i w:val="0"/>
          <w:color w:val="4A4A45"/>
        </w:rPr>
        <w:t>-</w:t>
      </w:r>
    </w:p>
    <w:p>
      <w:pPr>
        <w:spacing w:after="40" w:before="0"/>
      </w:pPr>
      <w:r>
        <w:rPr>
          <w:b w:val="0"/>
          <w:i w:val="0"/>
          <w:color w:val="4A4A45"/>
        </w:rPr>
        <w:t>-</w:t>
      </w:r>
    </w:p>
    <w:p>
      <w:pPr>
        <w:spacing w:after="40" w:before="0"/>
      </w:pPr>
      <w:r>
        <w:rPr>
          <w:b w:val="0"/>
          <w:i w:val="0"/>
          <w:color w:val="4A4A45"/>
        </w:rPr>
        <w:t>-</w:t>
      </w:r>
    </w:p>
    <w:p>
      <w:pPr>
        <w:spacing w:after="40" w:before="0"/>
      </w:pPr>
      <w:r>
        <w:rPr>
          <w:b w:val="0"/>
          <w:i w:val="0"/>
          <w:color w:val="4A4A45"/>
        </w:rPr>
        <w:t>-</w:t>
      </w:r>
    </w:p>
    <w:p>
      <w:pPr>
        <w:spacing w:after="100" w:before="280"/>
      </w:pPr>
      <w:r>
        <w:rPr>
          <w:b/>
          <w:i w:val="0"/>
          <w:color w:val="1D3E6E"/>
          <w:sz w:val="23"/>
          <w:caps/>
          <w:spacing w:val="30"/>
        </w:rPr>
        <w:t>História de vida</w:t>
      </w:r>
    </w:p>
    <w:p>
      <w:pPr>
        <w:spacing w:after="120" w:before="0"/>
      </w:pPr>
      <w:r>
        <w:t>Nasceu em Londrina, no Paraná, filho de comerciantes. Formou-se em História aos 24 anos e concluiu o mestrado na mesma área aos 31 — mais de onze anos de escolaridade formal.</w:t>
      </w:r>
    </w:p>
    <w:p>
      <w:pPr>
        <w:spacing w:after="120" w:before="0"/>
      </w:pPr>
      <w:r>
        <w:t>Deu aula em escola pública por doze anos e depois em uma faculdade particular por vinte e oito, até se aposentar aos 68. Era conhecido entre os colegas por dar aula sem consultar anotação nenhuma.</w:t>
      </w:r>
    </w:p>
    <w:p>
      <w:pPr>
        <w:spacing w:after="120" w:before="0"/>
      </w:pPr>
      <w:r>
        <w:t>Casado há 45 anos com Marlene, professora de matemática também aposentada. Dois filhos, ambos morando fora do país, e três netos que passam as férias na casa deles.</w:t>
      </w:r>
    </w:p>
    <w:p>
      <w:pPr>
        <w:spacing w:after="120" w:before="0"/>
      </w:pPr>
      <w:r>
        <w:t>Continua dando um curso livre de História do Brasil na associação do bairro, às quintas, para uma turma de dezoito pessoas. Lê dois ou três livros por mês, faz palavras cruzadas todos os dias e caminha quarenta minutos pela manhã.</w:t>
      </w:r>
    </w:p>
    <w:p>
      <w:pPr>
        <w:spacing w:after="100" w:before="280"/>
      </w:pPr>
      <w:r>
        <w:rPr>
          <w:b/>
          <w:i w:val="0"/>
          <w:color w:val="1D3E6E"/>
          <w:sz w:val="23"/>
          <w:caps/>
          <w:spacing w:val="30"/>
        </w:rPr>
        <w:t>História da queixa atual</w:t>
      </w:r>
    </w:p>
    <w:p>
      <w:pPr>
        <w:spacing w:after="120" w:before="0"/>
      </w:pPr>
      <w:r>
        <w:t>Há cerca de dois anos notou que precisava anotar o que antes guardava de cabeça. Foi ele quem procurou a clínica, por iniciativa própria, e chegou com as datas dos sintomas escritas num papel “para não esquecer de contar”.</w:t>
      </w:r>
    </w:p>
    <w:p>
      <w:pPr>
        <w:spacing w:after="120" w:before="0"/>
      </w:pPr>
      <w:r>
        <w:t>A mudança que mais o incomoda é a aula de quinta. Antes preparava quatro ou cinco tópicos num papel e falava duas horas em cima deles. Há um ano passou a escrever a aula inteira e a levar o texto consigo. Dá a aula sem falhas, e nenhum aluno comentou qualquer mudança.</w:t>
      </w:r>
    </w:p>
    <w:p>
      <w:pPr>
        <w:spacing w:after="120" w:before="0"/>
      </w:pPr>
      <w:r>
        <w:t>Passou a anotar todos os compromissos numa agenda de papel e a conferi-la duas vezes por dia. Não perdeu nenhuma consulta nem nenhum compromisso desde então.</w:t>
      </w:r>
    </w:p>
    <w:p>
      <w:pPr>
        <w:spacing w:after="120" w:before="0"/>
      </w:pPr>
      <w:r>
        <w:t>Repete a mesma pergunta duas ou três vezes por dia dentro da mesma conversa. Num almoço de família, há quatro meses, não conseguiu lembrar o nome de dois ex-colegas de departamento — episódio que o abalou bastante. Para retomar um romance, precisa reler o capítulo anterior para reencontrar os personagens; antes não precisava.</w:t>
      </w:r>
    </w:p>
    <w:p>
      <w:pPr>
        <w:spacing w:after="120" w:before="0"/>
      </w:pPr>
      <w:r>
        <w:t>Continua dirigindo, inclusive à noite e em estrada, sem multas, sustos ou episódios de desorientação. Administra as finanças do casal, como sempre fez; passou a conferir o extrato duas vezes, e não houve nenhum atraso, esquecimento ou erro de pagamento. Cozinha o jantar três vezes por semana. Toma quatro medicamentos e ele mesmo os controla, sem erro de dose relatado pela esposa.</w:t>
      </w:r>
    </w:p>
    <w:p>
      <w:pPr>
        <w:spacing w:after="120" w:before="0"/>
      </w:pPr>
      <w:r>
        <w:t>Marlene confirma as repetições e os esquecimentos de nomes, mas insiste que “ele faz tudo o que sempre fez, e do mesmo jeito”. Considera a procura pela clínica um exagero dele.</w:t>
      </w:r>
    </w:p>
    <w:p>
      <w:pPr>
        <w:spacing w:after="120" w:before="0"/>
      </w:pPr>
      <w:r>
        <w:t>Sem história psiquiátrica prévia. Nega tristeza, desânimo ou perda de interesse; sono e apetite preservados, peso estável. Hipertenso e dislipidêmico, em uso de losartana 50 mg e sinvastatina 20 mg. Não fuma; bebe uma taça de vinho nos fins de semana. Nenhum psicotrópico e nenhum fármaco com carga anticolinérgica. O pai morreu aos 84 anos, e a família descreve os últimos anos dele como “esclerose”.</w:t>
      </w:r>
    </w:p>
    <w:p>
      <w:pPr>
        <w:spacing w:after="100" w:before="280"/>
      </w:pPr>
      <w:r>
        <w:rPr>
          <w:b/>
          <w:i w:val="0"/>
          <w:color w:val="1D3E6E"/>
          <w:sz w:val="23"/>
          <w:caps/>
          <w:spacing w:val="30"/>
        </w:rPr>
        <w:t>O que se observa na avaliação</w:t>
      </w:r>
    </w:p>
    <w:p>
      <w:pPr>
        <w:spacing w:after="60" w:before="0"/>
        <w:ind w:left="170"/>
      </w:pPr>
      <w:r>
        <w:rPr>
          <w:b/>
          <w:i w:val="0"/>
          <w:color w:val="1D3E6E"/>
        </w:rPr>
        <w:t xml:space="preserve">•  </w:t>
      </w:r>
      <w:r>
        <w:rPr>
          <w:b w:val="0"/>
          <w:i w:val="0"/>
        </w:rPr>
        <w:t>Vigil, orientado e atento durante toda a sessão, sem latência de resposta aumentada.</w:t>
      </w:r>
    </w:p>
    <w:p>
      <w:pPr>
        <w:spacing w:after="60" w:before="0"/>
        <w:ind w:left="170"/>
      </w:pPr>
      <w:r>
        <w:rPr>
          <w:b/>
          <w:i w:val="0"/>
          <w:color w:val="1D3E6E"/>
        </w:rPr>
        <w:t xml:space="preserve">•  </w:t>
      </w:r>
      <w:r>
        <w:rPr>
          <w:b w:val="0"/>
          <w:i w:val="0"/>
        </w:rPr>
        <w:t>Vocabulário amplo e discurso organizado. Sem dificuldade para encontrar palavras na fala espontânea e sem parafasias.</w:t>
      </w:r>
    </w:p>
    <w:p>
      <w:pPr>
        <w:spacing w:after="60" w:before="0"/>
        <w:ind w:left="170"/>
      </w:pPr>
      <w:r>
        <w:rPr>
          <w:b/>
          <w:i w:val="0"/>
          <w:color w:val="1D3E6E"/>
        </w:rPr>
        <w:t xml:space="preserve">•  </w:t>
      </w:r>
      <w:r>
        <w:rPr>
          <w:b w:val="0"/>
          <w:i w:val="0"/>
        </w:rPr>
        <w:t>Traz por escrito a cronologia dos próprios sintomas, com datas aproximadas.</w:t>
      </w:r>
    </w:p>
    <w:p>
      <w:pPr>
        <w:spacing w:after="60" w:before="0"/>
        <w:ind w:left="170"/>
      </w:pPr>
      <w:r>
        <w:rPr>
          <w:b/>
          <w:i w:val="0"/>
          <w:color w:val="1D3E6E"/>
        </w:rPr>
        <w:t xml:space="preserve">•  </w:t>
      </w:r>
      <w:r>
        <w:rPr>
          <w:b w:val="0"/>
          <w:i w:val="0"/>
        </w:rPr>
        <w:t>Sem déficit auditivo. Usa óculos para leitura, trazidos à sessão. Sem déficit motor.</w:t>
      </w:r>
    </w:p>
    <w:p>
      <w:pPr>
        <w:spacing w:after="60" w:before="0"/>
        <w:ind w:left="170"/>
      </w:pPr>
      <w:r>
        <w:rPr>
          <w:b/>
          <w:i w:val="0"/>
          <w:color w:val="1D3E6E"/>
        </w:rPr>
        <w:t xml:space="preserve">•  </w:t>
      </w:r>
      <w:r>
        <w:rPr>
          <w:b w:val="0"/>
          <w:i w:val="0"/>
        </w:rPr>
        <w:t>Rastreio de humor sem indicativo de quadro depressivo.</w:t>
      </w:r>
    </w:p>
    <w:p>
      <w:pPr>
        <w:spacing w:after="60" w:before="0"/>
        <w:ind w:left="170"/>
      </w:pPr>
      <w:r>
        <w:rPr>
          <w:b/>
          <w:i w:val="0"/>
          <w:color w:val="1D3E6E"/>
        </w:rPr>
        <w:t xml:space="preserve">•  </w:t>
      </w:r>
      <w:r>
        <w:rPr>
          <w:b w:val="0"/>
          <w:i w:val="0"/>
        </w:rPr>
        <w:t>Exames clínicos e laboratoriais realizados há três meses sem alteração. Pressão arterial controlada.</w:t>
      </w:r>
    </w:p>
    <w:p>
      <w:pPr>
        <w:spacing w:after="60" w:before="0"/>
        <w:ind w:left="170"/>
      </w:pPr>
      <w:r>
        <w:rPr>
          <w:b/>
          <w:i w:val="0"/>
          <w:color w:val="1D3E6E"/>
        </w:rPr>
        <w:t xml:space="preserve">•  </w:t>
      </w:r>
      <w:r>
        <w:rPr>
          <w:b w:val="0"/>
          <w:i w:val="0"/>
        </w:rPr>
        <w:t>A esposa esteve presente na segunda parte da entrevista e forneceu as informações sobre o funcionamento em casa; a aplicação do MEEM foi feita com ela fora da sala.</w:t>
      </w:r>
    </w:p>
    <w:p>
      <w:pPr>
        <w:spacing w:after="100" w:before="280"/>
      </w:pPr>
      <w:r>
        <w:rPr>
          <w:b/>
          <w:i w:val="0"/>
          <w:color w:val="1D3E6E"/>
          <w:sz w:val="23"/>
          <w:caps/>
          <w:spacing w:val="30"/>
        </w:rPr>
        <w:t>MEEM — respostas obtidas</w:t>
      </w:r>
    </w:p>
    <w:p>
      <w:pPr>
        <w:spacing w:after="160" w:before="0"/>
      </w:pPr>
      <w:r>
        <w:rPr>
          <w:b w:val="0"/>
          <w:i w:val="0"/>
          <w:color w:val="4A4A45"/>
          <w:sz w:val="20"/>
        </w:rPr>
        <w:t xml:space="preserve">Aplicado numa clínica-escola do bairro da Aclimação, em São Paulo, numa </w:t>
      </w:r>
      <w:r>
        <w:rPr>
          <w:b/>
          <w:i w:val="0"/>
          <w:color w:val="4A4A45"/>
          <w:sz w:val="20"/>
        </w:rPr>
        <w:t>quarta-feira, dia 15 de maio, às 10h05</w:t>
      </w:r>
      <w:r>
        <w:rPr>
          <w:b w:val="0"/>
          <w:i w:val="0"/>
          <w:color w:val="4A4A45"/>
          <w:sz w:val="20"/>
        </w:rPr>
        <w:t xml:space="preserve">. Palavras usadas no registro: </w:t>
      </w:r>
      <w:r>
        <w:rPr>
          <w:b/>
          <w:i w:val="0"/>
          <w:color w:val="4A4A45"/>
          <w:sz w:val="20"/>
        </w:rPr>
        <w:t>pente, rua, azul</w:t>
      </w:r>
      <w:r>
        <w:rPr>
          <w:b w:val="0"/>
          <w:i w:val="0"/>
          <w:color w:val="4A4A45"/>
          <w:sz w:val="20"/>
        </w:rPr>
        <w:t>.</w:t>
      </w:r>
    </w:p>
    <w:tbl>
      <w:tblPr>
        <w:tblW w:type="auto" w:w="0"/>
        <w:tblLook w:firstColumn="1" w:firstRow="1" w:lastColumn="0" w:lastRow="0" w:noHBand="0" w:noVBand="1" w:val="04A0"/>
        <w:tblBorders>
          <w:top w:val="single" w:sz="4" w:space="0" w:color="D5D4CC"/>
          <w:left w:val="single" w:sz="4" w:space="0" w:color="D5D4CC"/>
          <w:bottom w:val="single" w:sz="4" w:space="0" w:color="D5D4CC"/>
          <w:right w:val="single" w:sz="4" w:space="0" w:color="D5D4CC"/>
          <w:insideH w:val="single" w:sz="4" w:space="0" w:color="D5D4CC"/>
          <w:insideV w:val="single" w:sz="4" w:space="0" w:color="D5D4CC"/>
        </w:tblBorders>
      </w:tblPr>
      <w:tblGrid>
        <w:gridCol w:w="2493"/>
        <w:gridCol w:w="2493"/>
        <w:gridCol w:w="2493"/>
        <w:gridCol w:w="2493"/>
      </w:tblGrid>
      <w:tr>
        <w:tc>
          <w:tcPr>
            <w:tcW w:type="dxa" w:w="567"/>
            <w:shd w:val="clear" w:color="auto" w:fill="EDECE4"/>
          </w:tcPr>
          <w:p>
            <w:pPr>
              <w:spacing w:after="0"/>
            </w:pPr>
            <w:r>
              <w:rPr>
                <w:b/>
                <w:i w:val="0"/>
                <w:sz w:val="19"/>
              </w:rPr>
              <w:t>Nº</w:t>
            </w:r>
          </w:p>
        </w:tc>
        <w:tc>
          <w:tcPr>
            <w:tcW w:type="dxa" w:w="2438"/>
            <w:shd w:val="clear" w:color="auto" w:fill="EDECE4"/>
          </w:tcPr>
          <w:p>
            <w:pPr>
              <w:spacing w:after="0"/>
            </w:pPr>
            <w:r>
              <w:rPr>
                <w:b/>
                <w:i w:val="0"/>
                <w:sz w:val="19"/>
              </w:rPr>
              <w:t>Item</w:t>
            </w:r>
          </w:p>
        </w:tc>
        <w:tc>
          <w:tcPr>
            <w:tcW w:type="dxa" w:w="5102"/>
            <w:shd w:val="clear" w:color="auto" w:fill="EDECE4"/>
          </w:tcPr>
          <w:p>
            <w:pPr>
              <w:spacing w:after="0"/>
            </w:pPr>
            <w:r>
              <w:rPr>
                <w:b/>
                <w:i w:val="0"/>
                <w:sz w:val="19"/>
              </w:rPr>
              <w:t>Resposta obtida</w:t>
            </w:r>
          </w:p>
        </w:tc>
        <w:tc>
          <w:tcPr>
            <w:tcW w:type="dxa" w:w="964"/>
            <w:shd w:val="clear" w:color="auto" w:fill="EDECE4"/>
          </w:tcPr>
          <w:p>
            <w:pPr>
              <w:spacing w:after="0"/>
            </w:pPr>
            <w:r>
              <w:rPr>
                <w:b/>
                <w:i w:val="0"/>
                <w:sz w:val="19"/>
              </w:rPr>
              <w:t>Pontos</w:t>
            </w:r>
          </w:p>
        </w:tc>
      </w:tr>
      <w:tr>
        <w:tc>
          <w:tcPr>
            <w:tcW w:type="dxa" w:w="567"/>
          </w:tcPr>
          <w:p>
            <w:pPr>
              <w:spacing w:after="0"/>
            </w:pPr>
            <w:r>
              <w:rPr>
                <w:b w:val="0"/>
                <w:i w:val="0"/>
                <w:sz w:val="19"/>
              </w:rPr>
              <w:t>1</w:t>
            </w:r>
          </w:p>
        </w:tc>
        <w:tc>
          <w:tcPr>
            <w:tcW w:type="dxa" w:w="2438"/>
          </w:tcPr>
          <w:p>
            <w:pPr>
              <w:spacing w:after="0"/>
            </w:pPr>
            <w:r>
              <w:rPr>
                <w:b/>
                <w:i w:val="0"/>
                <w:sz w:val="19"/>
              </w:rPr>
              <w:t>Orientação temporal</w:t>
            </w:r>
          </w:p>
        </w:tc>
        <w:tc>
          <w:tcPr>
            <w:tcW w:type="dxa" w:w="5102"/>
          </w:tcPr>
          <w:p>
            <w:pPr>
              <w:spacing w:after="0"/>
            </w:pPr>
            <w:r>
              <w:rPr>
                <w:b w:val="0"/>
                <w:i w:val="0"/>
                <w:sz w:val="19"/>
              </w:rPr>
              <w:t>Acerta o dia da semana, o mês e o ano, e responde “dez e pouco” quanto à hora. Diz que é dia 12.</w:t>
            </w:r>
          </w:p>
        </w:tc>
        <w:tc>
          <w:tcPr>
            <w:tcW w:type="dxa" w:w="964"/>
          </w:tcPr>
          <w:p>
            <w:pPr>
              <w:spacing w:after="0"/>
            </w:pPr>
            <w:r>
              <w:rPr>
                <w:b w:val="0"/>
                <w:i w:val="0"/>
                <w:sz w:val="19"/>
              </w:rPr>
            </w:r>
          </w:p>
        </w:tc>
      </w:tr>
      <w:tr>
        <w:tc>
          <w:tcPr>
            <w:tcW w:type="dxa" w:w="567"/>
          </w:tcPr>
          <w:p>
            <w:pPr>
              <w:spacing w:after="0"/>
            </w:pPr>
            <w:r>
              <w:rPr>
                <w:b w:val="0"/>
                <w:i w:val="0"/>
                <w:sz w:val="19"/>
              </w:rPr>
              <w:t>2</w:t>
            </w:r>
          </w:p>
        </w:tc>
        <w:tc>
          <w:tcPr>
            <w:tcW w:type="dxa" w:w="2438"/>
          </w:tcPr>
          <w:p>
            <w:pPr>
              <w:spacing w:after="0"/>
            </w:pPr>
            <w:r>
              <w:rPr>
                <w:b/>
                <w:i w:val="0"/>
                <w:sz w:val="19"/>
              </w:rPr>
              <w:t>Orientação espacial</w:t>
            </w:r>
          </w:p>
        </w:tc>
        <w:tc>
          <w:tcPr>
            <w:tcW w:type="dxa" w:w="5102"/>
          </w:tcPr>
          <w:p>
            <w:pPr>
              <w:spacing w:after="0"/>
            </w:pPr>
            <w:r>
              <w:rPr>
                <w:b w:val="0"/>
                <w:i w:val="0"/>
                <w:sz w:val="19"/>
              </w:rPr>
              <w:t>Diz que está num consultório, dentro de uma clínica-escola. Acerta o bairro, a cidade e o estado.</w:t>
            </w:r>
          </w:p>
        </w:tc>
        <w:tc>
          <w:tcPr>
            <w:tcW w:type="dxa" w:w="964"/>
          </w:tcPr>
          <w:p>
            <w:pPr>
              <w:spacing w:after="0"/>
            </w:pPr>
            <w:r>
              <w:rPr>
                <w:b w:val="0"/>
                <w:i w:val="0"/>
                <w:sz w:val="19"/>
              </w:rPr>
            </w:r>
          </w:p>
        </w:tc>
      </w:tr>
      <w:tr>
        <w:tc>
          <w:tcPr>
            <w:tcW w:type="dxa" w:w="567"/>
          </w:tcPr>
          <w:p>
            <w:pPr>
              <w:spacing w:after="0"/>
            </w:pPr>
            <w:r>
              <w:rPr>
                <w:b w:val="0"/>
                <w:i w:val="0"/>
                <w:sz w:val="19"/>
              </w:rPr>
              <w:t>3</w:t>
            </w:r>
          </w:p>
        </w:tc>
        <w:tc>
          <w:tcPr>
            <w:tcW w:type="dxa" w:w="2438"/>
          </w:tcPr>
          <w:p>
            <w:pPr>
              <w:spacing w:after="0"/>
            </w:pPr>
            <w:r>
              <w:rPr>
                <w:b/>
                <w:i w:val="0"/>
                <w:sz w:val="19"/>
              </w:rPr>
              <w:t>Memória imediata</w:t>
            </w:r>
          </w:p>
        </w:tc>
        <w:tc>
          <w:tcPr>
            <w:tcW w:type="dxa" w:w="5102"/>
          </w:tcPr>
          <w:p>
            <w:pPr>
              <w:spacing w:after="0"/>
            </w:pPr>
            <w:r>
              <w:rPr>
                <w:b w:val="0"/>
                <w:i w:val="0"/>
                <w:sz w:val="19"/>
              </w:rPr>
              <w:t>Repete as três palavras na primeira tentativa.</w:t>
            </w:r>
          </w:p>
        </w:tc>
        <w:tc>
          <w:tcPr>
            <w:tcW w:type="dxa" w:w="964"/>
          </w:tcPr>
          <w:p>
            <w:pPr>
              <w:spacing w:after="0"/>
            </w:pPr>
            <w:r>
              <w:rPr>
                <w:b w:val="0"/>
                <w:i w:val="0"/>
                <w:sz w:val="19"/>
              </w:rPr>
            </w:r>
          </w:p>
        </w:tc>
      </w:tr>
      <w:tr>
        <w:tc>
          <w:tcPr>
            <w:tcW w:type="dxa" w:w="567"/>
          </w:tcPr>
          <w:p>
            <w:pPr>
              <w:spacing w:after="0"/>
            </w:pPr>
            <w:r>
              <w:rPr>
                <w:b w:val="0"/>
                <w:i w:val="0"/>
                <w:sz w:val="19"/>
              </w:rPr>
              <w:t>4</w:t>
            </w:r>
          </w:p>
        </w:tc>
        <w:tc>
          <w:tcPr>
            <w:tcW w:type="dxa" w:w="2438"/>
          </w:tcPr>
          <w:p>
            <w:pPr>
              <w:spacing w:after="0"/>
            </w:pPr>
            <w:r>
              <w:rPr>
                <w:b/>
                <w:i w:val="0"/>
                <w:sz w:val="19"/>
              </w:rPr>
              <w:t>Atenção e cálculo</w:t>
            </w:r>
          </w:p>
        </w:tc>
        <w:tc>
          <w:tcPr>
            <w:tcW w:type="dxa" w:w="5102"/>
          </w:tcPr>
          <w:p>
            <w:pPr>
              <w:spacing w:after="0"/>
            </w:pPr>
            <w:r>
              <w:rPr>
                <w:b w:val="0"/>
                <w:i w:val="0"/>
                <w:sz w:val="19"/>
              </w:rPr>
              <w:t>Responde 93, 86, 79, 72 e 65, sem hesitação e sem precisar ser lembrado do número.</w:t>
            </w:r>
          </w:p>
        </w:tc>
        <w:tc>
          <w:tcPr>
            <w:tcW w:type="dxa" w:w="964"/>
          </w:tcPr>
          <w:p>
            <w:pPr>
              <w:spacing w:after="0"/>
            </w:pPr>
            <w:r>
              <w:rPr>
                <w:b w:val="0"/>
                <w:i w:val="0"/>
                <w:sz w:val="19"/>
              </w:rPr>
            </w:r>
          </w:p>
        </w:tc>
      </w:tr>
      <w:tr>
        <w:tc>
          <w:tcPr>
            <w:tcW w:type="dxa" w:w="567"/>
          </w:tcPr>
          <w:p>
            <w:pPr>
              <w:spacing w:after="0"/>
            </w:pPr>
            <w:r>
              <w:rPr>
                <w:b w:val="0"/>
                <w:i w:val="0"/>
                <w:sz w:val="19"/>
              </w:rPr>
              <w:t>5</w:t>
            </w:r>
          </w:p>
        </w:tc>
        <w:tc>
          <w:tcPr>
            <w:tcW w:type="dxa" w:w="2438"/>
          </w:tcPr>
          <w:p>
            <w:pPr>
              <w:spacing w:after="0"/>
            </w:pPr>
            <w:r>
              <w:rPr>
                <w:b/>
                <w:i w:val="0"/>
                <w:sz w:val="19"/>
              </w:rPr>
              <w:t>Evocação</w:t>
            </w:r>
          </w:p>
        </w:tc>
        <w:tc>
          <w:tcPr>
            <w:tcW w:type="dxa" w:w="5102"/>
          </w:tcPr>
          <w:p>
            <w:pPr>
              <w:spacing w:after="0"/>
            </w:pPr>
            <w:r>
              <w:rPr>
                <w:b w:val="0"/>
                <w:i w:val="0"/>
                <w:sz w:val="19"/>
              </w:rPr>
              <w:t>Recupera “azul”. Diz “as outras duas eu sei que ouvi, mas não vêm”. Não recupera “pente” nem “rua”.</w:t>
            </w:r>
          </w:p>
        </w:tc>
        <w:tc>
          <w:tcPr>
            <w:tcW w:type="dxa" w:w="964"/>
          </w:tcPr>
          <w:p>
            <w:pPr>
              <w:spacing w:after="0"/>
            </w:pPr>
            <w:r>
              <w:rPr>
                <w:b w:val="0"/>
                <w:i w:val="0"/>
                <w:sz w:val="19"/>
              </w:rPr>
            </w:r>
          </w:p>
        </w:tc>
      </w:tr>
      <w:tr>
        <w:tc>
          <w:tcPr>
            <w:tcW w:type="dxa" w:w="567"/>
          </w:tcPr>
          <w:p>
            <w:pPr>
              <w:spacing w:after="0"/>
            </w:pPr>
            <w:r>
              <w:rPr>
                <w:b w:val="0"/>
                <w:i w:val="0"/>
                <w:sz w:val="19"/>
              </w:rPr>
              <w:t>6</w:t>
            </w:r>
          </w:p>
        </w:tc>
        <w:tc>
          <w:tcPr>
            <w:tcW w:type="dxa" w:w="2438"/>
          </w:tcPr>
          <w:p>
            <w:pPr>
              <w:spacing w:after="0"/>
            </w:pPr>
            <w:r>
              <w:rPr>
                <w:b/>
                <w:i w:val="0"/>
                <w:sz w:val="19"/>
              </w:rPr>
              <w:t>Nomeação</w:t>
            </w:r>
          </w:p>
        </w:tc>
        <w:tc>
          <w:tcPr>
            <w:tcW w:type="dxa" w:w="5102"/>
          </w:tcPr>
          <w:p>
            <w:pPr>
              <w:spacing w:after="0"/>
            </w:pPr>
            <w:r>
              <w:rPr>
                <w:b w:val="0"/>
                <w:i w:val="0"/>
                <w:sz w:val="19"/>
              </w:rPr>
              <w:t>Nomeia o relógio e a caneta.</w:t>
            </w:r>
          </w:p>
        </w:tc>
        <w:tc>
          <w:tcPr>
            <w:tcW w:type="dxa" w:w="964"/>
          </w:tcPr>
          <w:p>
            <w:pPr>
              <w:spacing w:after="0"/>
            </w:pPr>
            <w:r>
              <w:rPr>
                <w:b w:val="0"/>
                <w:i w:val="0"/>
                <w:sz w:val="19"/>
              </w:rPr>
            </w:r>
          </w:p>
        </w:tc>
      </w:tr>
      <w:tr>
        <w:tc>
          <w:tcPr>
            <w:tcW w:type="dxa" w:w="567"/>
          </w:tcPr>
          <w:p>
            <w:pPr>
              <w:spacing w:after="0"/>
            </w:pPr>
            <w:r>
              <w:rPr>
                <w:b w:val="0"/>
                <w:i w:val="0"/>
                <w:sz w:val="19"/>
              </w:rPr>
              <w:t>7</w:t>
            </w:r>
          </w:p>
        </w:tc>
        <w:tc>
          <w:tcPr>
            <w:tcW w:type="dxa" w:w="2438"/>
          </w:tcPr>
          <w:p>
            <w:pPr>
              <w:spacing w:after="0"/>
            </w:pPr>
            <w:r>
              <w:rPr>
                <w:b/>
                <w:i w:val="0"/>
                <w:sz w:val="19"/>
              </w:rPr>
              <w:t>Repetição</w:t>
            </w:r>
          </w:p>
        </w:tc>
        <w:tc>
          <w:tcPr>
            <w:tcW w:type="dxa" w:w="5102"/>
          </w:tcPr>
          <w:p>
            <w:pPr>
              <w:spacing w:after="0"/>
            </w:pPr>
            <w:r>
              <w:rPr>
                <w:b w:val="0"/>
                <w:i w:val="0"/>
                <w:sz w:val="19"/>
              </w:rPr>
              <w:t>Repete “nem aqui, nem ali, nem lá” corretamente na primeira tentativa.</w:t>
            </w:r>
          </w:p>
        </w:tc>
        <w:tc>
          <w:tcPr>
            <w:tcW w:type="dxa" w:w="964"/>
          </w:tcPr>
          <w:p>
            <w:pPr>
              <w:spacing w:after="0"/>
            </w:pPr>
            <w:r>
              <w:rPr>
                <w:b w:val="0"/>
                <w:i w:val="0"/>
                <w:sz w:val="19"/>
              </w:rPr>
            </w:r>
          </w:p>
        </w:tc>
      </w:tr>
      <w:tr>
        <w:tc>
          <w:tcPr>
            <w:tcW w:type="dxa" w:w="567"/>
          </w:tcPr>
          <w:p>
            <w:pPr>
              <w:spacing w:after="0"/>
            </w:pPr>
            <w:r>
              <w:rPr>
                <w:b w:val="0"/>
                <w:i w:val="0"/>
                <w:sz w:val="19"/>
              </w:rPr>
              <w:t>8</w:t>
            </w:r>
          </w:p>
        </w:tc>
        <w:tc>
          <w:tcPr>
            <w:tcW w:type="dxa" w:w="2438"/>
          </w:tcPr>
          <w:p>
            <w:pPr>
              <w:spacing w:after="0"/>
            </w:pPr>
            <w:r>
              <w:rPr>
                <w:b/>
                <w:i w:val="0"/>
                <w:sz w:val="19"/>
              </w:rPr>
              <w:t>Comando de três estágios</w:t>
            </w:r>
          </w:p>
        </w:tc>
        <w:tc>
          <w:tcPr>
            <w:tcW w:type="dxa" w:w="5102"/>
          </w:tcPr>
          <w:p>
            <w:pPr>
              <w:spacing w:after="0"/>
            </w:pPr>
            <w:r>
              <w:rPr>
                <w:b w:val="0"/>
                <w:i w:val="0"/>
                <w:sz w:val="19"/>
              </w:rPr>
              <w:t>Pega o papel com a mão direita, dobra-o ao meio e o coloca no colo.</w:t>
            </w:r>
          </w:p>
        </w:tc>
        <w:tc>
          <w:tcPr>
            <w:tcW w:type="dxa" w:w="964"/>
          </w:tcPr>
          <w:p>
            <w:pPr>
              <w:spacing w:after="0"/>
            </w:pPr>
            <w:r>
              <w:rPr>
                <w:b w:val="0"/>
                <w:i w:val="0"/>
                <w:sz w:val="19"/>
              </w:rPr>
            </w:r>
          </w:p>
        </w:tc>
      </w:tr>
      <w:tr>
        <w:tc>
          <w:tcPr>
            <w:tcW w:type="dxa" w:w="567"/>
          </w:tcPr>
          <w:p>
            <w:pPr>
              <w:spacing w:after="0"/>
            </w:pPr>
            <w:r>
              <w:rPr>
                <w:b w:val="0"/>
                <w:i w:val="0"/>
                <w:sz w:val="19"/>
              </w:rPr>
              <w:t>9</w:t>
            </w:r>
          </w:p>
        </w:tc>
        <w:tc>
          <w:tcPr>
            <w:tcW w:type="dxa" w:w="2438"/>
          </w:tcPr>
          <w:p>
            <w:pPr>
              <w:spacing w:after="0"/>
            </w:pPr>
            <w:r>
              <w:rPr>
                <w:b/>
                <w:i w:val="0"/>
                <w:sz w:val="19"/>
              </w:rPr>
              <w:t>Leitura</w:t>
            </w:r>
          </w:p>
        </w:tc>
        <w:tc>
          <w:tcPr>
            <w:tcW w:type="dxa" w:w="5102"/>
          </w:tcPr>
          <w:p>
            <w:pPr>
              <w:spacing w:after="0"/>
            </w:pPr>
            <w:r>
              <w:rPr>
                <w:b w:val="0"/>
                <w:i w:val="0"/>
                <w:sz w:val="19"/>
              </w:rPr>
              <w:t>Lê “FECHE OS OLHOS” em voz alta e fecha os olhos.</w:t>
            </w:r>
          </w:p>
        </w:tc>
        <w:tc>
          <w:tcPr>
            <w:tcW w:type="dxa" w:w="964"/>
          </w:tcPr>
          <w:p>
            <w:pPr>
              <w:spacing w:after="0"/>
            </w:pPr>
            <w:r>
              <w:rPr>
                <w:b w:val="0"/>
                <w:i w:val="0"/>
                <w:sz w:val="19"/>
              </w:rPr>
            </w:r>
          </w:p>
        </w:tc>
      </w:tr>
      <w:tr>
        <w:tc>
          <w:tcPr>
            <w:tcW w:type="dxa" w:w="567"/>
          </w:tcPr>
          <w:p>
            <w:pPr>
              <w:spacing w:after="0"/>
            </w:pPr>
            <w:r>
              <w:rPr>
                <w:b w:val="0"/>
                <w:i w:val="0"/>
                <w:sz w:val="19"/>
              </w:rPr>
              <w:t>10</w:t>
            </w:r>
          </w:p>
        </w:tc>
        <w:tc>
          <w:tcPr>
            <w:tcW w:type="dxa" w:w="2438"/>
          </w:tcPr>
          <w:p>
            <w:pPr>
              <w:spacing w:after="0"/>
            </w:pPr>
            <w:r>
              <w:rPr>
                <w:b/>
                <w:i w:val="0"/>
                <w:sz w:val="19"/>
              </w:rPr>
              <w:t>Escrita de uma frase</w:t>
            </w:r>
          </w:p>
        </w:tc>
        <w:tc>
          <w:tcPr>
            <w:tcW w:type="dxa" w:w="5102"/>
          </w:tcPr>
          <w:p>
            <w:pPr>
              <w:spacing w:after="0"/>
            </w:pPr>
            <w:r>
              <w:rPr>
                <w:b w:val="0"/>
                <w:i w:val="0"/>
                <w:sz w:val="19"/>
              </w:rPr>
              <w:t>Escreve: “A aula de quinta-feira é sobre a República Velha.”</w:t>
            </w:r>
          </w:p>
        </w:tc>
        <w:tc>
          <w:tcPr>
            <w:tcW w:type="dxa" w:w="964"/>
          </w:tcPr>
          <w:p>
            <w:pPr>
              <w:spacing w:after="0"/>
            </w:pPr>
            <w:r>
              <w:rPr>
                <w:b w:val="0"/>
                <w:i w:val="0"/>
                <w:sz w:val="19"/>
              </w:rPr>
            </w:r>
          </w:p>
        </w:tc>
      </w:tr>
      <w:tr>
        <w:tc>
          <w:tcPr>
            <w:tcW w:type="dxa" w:w="567"/>
          </w:tcPr>
          <w:p>
            <w:pPr>
              <w:spacing w:after="0"/>
            </w:pPr>
            <w:r>
              <w:rPr>
                <w:b w:val="0"/>
                <w:i w:val="0"/>
                <w:sz w:val="19"/>
              </w:rPr>
              <w:t>11</w:t>
            </w:r>
          </w:p>
        </w:tc>
        <w:tc>
          <w:tcPr>
            <w:tcW w:type="dxa" w:w="2438"/>
          </w:tcPr>
          <w:p>
            <w:pPr>
              <w:spacing w:after="0"/>
            </w:pPr>
            <w:r>
              <w:rPr>
                <w:b/>
                <w:i w:val="0"/>
                <w:sz w:val="19"/>
              </w:rPr>
              <w:t>Cópia dos pentágonos</w:t>
            </w:r>
          </w:p>
        </w:tc>
        <w:tc>
          <w:tcPr>
            <w:tcW w:type="dxa" w:w="5102"/>
          </w:tcPr>
          <w:p>
            <w:pPr>
              <w:spacing w:after="0"/>
            </w:pPr>
            <w:r>
              <w:rPr>
                <w:b w:val="0"/>
                <w:i w:val="0"/>
                <w:sz w:val="19"/>
              </w:rPr>
              <w:t>Copia os dois pentágonos com cinco ângulos cada, cruzando-se num quadrilátero. Traço levemente trêmulo.</w:t>
            </w:r>
          </w:p>
        </w:tc>
        <w:tc>
          <w:tcPr>
            <w:tcW w:type="dxa" w:w="964"/>
          </w:tcPr>
          <w:p>
            <w:pPr>
              <w:spacing w:after="0"/>
            </w:pPr>
            <w:r>
              <w:rPr>
                <w:b w:val="0"/>
                <w:i w:val="0"/>
                <w:sz w:val="19"/>
              </w:rPr>
            </w:r>
          </w:p>
        </w:tc>
      </w:tr>
    </w:tbl>
    <w:p>
      <w:pPr>
        <w:spacing w:after="80" w:before="200"/>
      </w:pPr>
      <w:r>
        <w:rPr>
          <w:b/>
          <w:i w:val="0"/>
          <w:sz w:val="23"/>
        </w:rPr>
        <w:t>Escore total: ________  / 30</w:t>
      </w:r>
    </w:p>
    <w:p>
      <w:pPr>
        <w:spacing w:after="80" w:before="0"/>
      </w:pPr>
      <w:r>
        <w:rPr>
          <w:b/>
          <w:i w:val="0"/>
          <w:sz w:val="23"/>
        </w:rPr>
        <w:t>Escolaridade: ________ anos</w:t>
      </w:r>
    </w:p>
    <w:p>
      <w:pPr>
        <w:spacing w:after="80" w:before="0"/>
      </w:pPr>
      <w:r>
        <w:rPr>
          <w:b/>
          <w:i w:val="0"/>
          <w:sz w:val="23"/>
        </w:rPr>
        <w:t>Ponto de corte dessa faixa (Brucki et al., 2003): ________</w:t>
      </w:r>
      <w:r>
        <w:rPr>
          <w:b/>
          <w:i w:val="0"/>
          <w:color w:val="1D3E6E"/>
          <w:sz w:val="23"/>
        </w:rPr>
        <w:t xml:space="preserve">     rastreio:  ( ) positivo   ( ) negativo</w:t>
      </w:r>
    </w:p>
    <w:p>
      <w:pPr>
        <w:spacing w:after="100" w:before="280"/>
      </w:pPr>
      <w:r>
        <w:rPr>
          <w:b/>
          <w:i w:val="0"/>
          <w:color w:val="1D3E6E"/>
          <w:sz w:val="23"/>
          <w:caps/>
          <w:spacing w:val="30"/>
        </w:rPr>
        <w:t>Para responder em grupo</w:t>
      </w:r>
    </w:p>
    <w:p>
      <w:pPr>
        <w:spacing w:after="60" w:before="0"/>
        <w:ind w:left="170"/>
      </w:pPr>
      <w:r>
        <w:rPr>
          <w:b/>
          <w:i w:val="0"/>
          <w:color w:val="1D3E6E"/>
        </w:rPr>
        <w:t xml:space="preserve">•  </w:t>
      </w:r>
      <w:r>
        <w:rPr>
          <w:b w:val="0"/>
          <w:i w:val="0"/>
        </w:rPr>
        <w:t>Some os pontos do MEEM e compare com o ponto de corte da faixa de escolaridade dele.</w:t>
      </w:r>
    </w:p>
    <w:p>
      <w:pPr>
        <w:spacing w:after="60" w:before="0"/>
        <w:ind w:left="170"/>
      </w:pPr>
      <w:r>
        <w:rPr>
          <w:b/>
          <w:i w:val="0"/>
          <w:color w:val="1D3E6E"/>
        </w:rPr>
        <w:t xml:space="preserve">•  </w:t>
      </w:r>
      <w:r>
        <w:rPr>
          <w:b w:val="0"/>
          <w:i w:val="0"/>
        </w:rPr>
        <w:t>O escore está abaixo do corte? O que isso permite — e o que não permite — concluir?</w:t>
      </w:r>
    </w:p>
    <w:p>
      <w:pPr>
        <w:spacing w:after="60" w:before="0"/>
        <w:ind w:left="170"/>
      </w:pPr>
      <w:r>
        <w:rPr>
          <w:b/>
          <w:i w:val="0"/>
          <w:color w:val="1D3E6E"/>
        </w:rPr>
        <w:t xml:space="preserve">•  </w:t>
      </w:r>
      <w:r>
        <w:rPr>
          <w:b w:val="0"/>
          <w:i w:val="0"/>
        </w:rPr>
        <w:t>Há transtorno neurocognitivo? Se houver, ele é leve ou maior?</w:t>
      </w:r>
    </w:p>
    <w:p>
      <w:pPr>
        <w:spacing w:after="60" w:before="0"/>
        <w:ind w:left="170"/>
      </w:pPr>
      <w:r>
        <w:rPr>
          <w:b/>
          <w:i w:val="0"/>
          <w:color w:val="1D3E6E"/>
        </w:rPr>
        <w:t xml:space="preserve">•  </w:t>
      </w:r>
      <w:r>
        <w:rPr>
          <w:b w:val="0"/>
          <w:i w:val="0"/>
        </w:rPr>
        <w:t>Diga qual critério do DSM-5 decide o nível e justifique com dados da história, não com o escore.</w:t>
      </w:r>
    </w:p>
    <w:p>
      <w:pPr>
        <w:spacing w:after="200" w:before="120"/>
      </w:pPr>
      <w:r>
        <w:rPr>
          <w:b w:val="0"/>
          <w:i w:val="0"/>
          <w:color w:val="7F7F7F"/>
          <w:sz w:val="20"/>
        </w:rPr>
        <w:t xml:space="preserve">Ex: </w:t>
      </w:r>
      <w:r>
        <w:rPr>
          <w:b w:val="0"/>
          <w:i w:val="0"/>
          <w:color w:val="7F7F7F"/>
          <w:sz w:val="20"/>
        </w:rPr>
        <w:t>O Sr. Wilson procurou a avaliação por xxxxxxxx. Durante a avaliação observou-se xxxxxxxx. O MEEM totalizou xx pontos, para um ponto de corte de xx na faixa de escolaridade dele, o que indica xxxxxxxx. Quanto à funcionalidade, xxxxxxxx. Assim, o resultado corrobora/não corrobora (confirma/não confirma) a hipótese de xxxxxxxx, no nível xxxxxxxx, porque xxxxxxxx.</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p>
      <w:pPr>
        <w:spacing w:after="90" w:before="0"/>
      </w:pPr>
      <w:r>
        <w:rPr>
          <w:b w:val="0"/>
          <w:i w:val="0"/>
          <w:color w:val="BFBEB3"/>
        </w:rPr>
        <w:t>______________________________________________________________________________________________________________________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s="Calibri"/>
      <w:color w:val="1B1B1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