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1D3E6E"/>
          <w:sz w:val="17"/>
        </w:rPr>
        <w:t>FASM · Neuropsicologia II     Aula 06 — Funções executivas no idoso</w:t>
      </w:r>
    </w:p>
    <w:p>
      <w:pPr>
        <w:spacing w:after="40"/>
      </w:pPr>
      <w:r>
        <w:rPr>
          <w:b/>
          <w:color w:val="1D3E6E"/>
          <w:sz w:val="19"/>
        </w:rPr>
        <w:t>Vinheta clínica 1</w:t>
      </w:r>
    </w:p>
    <w:p>
      <w:pPr>
        <w:spacing w:after="80"/>
      </w:pPr>
      <w:r>
        <w:rPr>
          <w:b/>
          <w:sz w:val="30"/>
        </w:rPr>
        <w:t>Sr. Osmar, 68 anos, mora com a esposa num apartamento na Penha</w:t>
      </w:r>
    </w:p>
    <w:p>
      <w:pPr>
        <w:spacing w:after="140"/>
      </w:pPr>
      <w:r>
        <w:rPr>
          <w:color w:val="4A4A45"/>
          <w:sz w:val="24"/>
        </w:rPr>
        <w:t>Trazido pela filha à clínica-escola. Ele diz que veio “porque elas insistiram” e que “não tem nada”.</w:t>
      </w:r>
    </w:p>
    <w:p>
      <w:pPr>
        <w:spacing w:after="140"/>
      </w:pPr>
      <w:r>
        <w:rPr>
          <w:color w:val="4A4A45"/>
          <w:sz w:val="24"/>
        </w:rPr>
        <w:t>Data: ____ / ____ / ______</w:t>
      </w:r>
    </w:p>
    <w:p>
      <w:pPr>
        <w:spacing w:after="140"/>
      </w:pPr>
      <w:r>
        <w:rPr>
          <w:color w:val="4A4A45"/>
          <w:sz w:val="24"/>
        </w:rPr>
        <w:t>Integrantes: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spacing w:after="60"/>
      </w:pPr>
      <w:r>
        <w:rPr>
          <w:color w:val="4A4A45"/>
          <w:sz w:val="24"/>
        </w:rPr>
        <w:t>-</w:t>
      </w:r>
    </w:p>
    <w:p>
      <w:pPr>
        <w:keepNext/>
        <w:spacing w:before="220" w:after="100"/>
      </w:pPr>
      <w:r>
        <w:rPr>
          <w:b/>
          <w:color w:val="1D3E6E"/>
          <w:sz w:val="22"/>
        </w:rPr>
        <w:t>História de vida</w:t>
      </w:r>
    </w:p>
    <w:p>
      <w:pPr>
        <w:spacing w:after="140"/>
      </w:pPr>
      <w:r>
        <w:rPr>
          <w:color w:val="4A4A45"/>
          <w:sz w:val="24"/>
        </w:rPr>
        <w:t>Nasceu em Presidente Prudente, no interior de São Paulo, o segundo de quatro irmãos. Veio para a capital aos 22 anos, atrás de trabalho, e nunca mais saiu.</w:t>
      </w:r>
    </w:p>
    <w:p>
      <w:pPr>
        <w:spacing w:after="140"/>
      </w:pPr>
      <w:r>
        <w:rPr>
          <w:color w:val="4A4A45"/>
          <w:sz w:val="24"/>
        </w:rPr>
        <w:t>Estudou até o fim do ensino médio — onze anos de escolaridade formal. Lê jornal todo dia e sempre foi o da família que conferia recibo e contrato.</w:t>
      </w:r>
    </w:p>
    <w:p>
      <w:pPr>
        <w:spacing w:after="140"/>
      </w:pPr>
      <w:r>
        <w:rPr>
          <w:color w:val="4A4A45"/>
          <w:sz w:val="24"/>
        </w:rPr>
        <w:t>Trabalhou trinta e um anos numa fábrica de autopeças na Vila Maria, os últimos dezoito como encarregado de almoxarifado: conferia inventário, fechava planilha, organizava entrada e saída. Aposentou-se aos 64.</w:t>
      </w:r>
    </w:p>
    <w:p>
      <w:pPr>
        <w:spacing w:after="140"/>
      </w:pPr>
      <w:r>
        <w:rPr>
          <w:color w:val="4A4A45"/>
          <w:sz w:val="24"/>
        </w:rPr>
        <w:t>Casado há 41 anos com Nair, costureira aposentada. Dois filhos e três netos.</w:t>
      </w:r>
    </w:p>
    <w:p>
      <w:pPr>
        <w:spacing w:after="140"/>
      </w:pPr>
      <w:r>
        <w:rPr>
          <w:color w:val="4A4A45"/>
          <w:sz w:val="24"/>
        </w:rPr>
        <w:t>Era descrito por todos, invariavelmente, como formal, contido e de poucas palavras — “o sério da família”. Nunca fez avaliação neuropsicológica.</w:t>
      </w:r>
    </w:p>
    <w:p>
      <w:pPr>
        <w:keepNext/>
        <w:spacing w:before="220" w:after="100"/>
      </w:pPr>
      <w:r>
        <w:rPr>
          <w:b/>
          <w:color w:val="1D3E6E"/>
          <w:sz w:val="22"/>
        </w:rPr>
        <w:t>História da queixa atual</w:t>
      </w:r>
    </w:p>
    <w:p>
      <w:pPr>
        <w:spacing w:after="140"/>
      </w:pPr>
      <w:r>
        <w:rPr>
          <w:color w:val="4A4A45"/>
          <w:sz w:val="24"/>
        </w:rPr>
        <w:t>Segundo a filha, há cerca de dois anos o que começou a mudar não foi a memória dele: foi o jeito. Passou a comentar em voz alta a aparência de estranhos na fila do banco. A família achou que fosse implicância de aposentado.</w:t>
      </w:r>
    </w:p>
    <w:p>
      <w:pPr>
        <w:spacing w:after="140"/>
      </w:pPr>
      <w:r>
        <w:rPr>
          <w:color w:val="4A4A45"/>
          <w:sz w:val="24"/>
        </w:rPr>
        <w:t>Há um ano e meio riu alto durante o velório de um vizinho e, ao ser puxado para fora, não entendeu o motivo da bronca.</w:t>
      </w:r>
    </w:p>
    <w:p>
      <w:pPr>
        <w:spacing w:after="140"/>
      </w:pPr>
      <w:r>
        <w:rPr>
          <w:color w:val="4A4A45"/>
          <w:sz w:val="24"/>
        </w:rPr>
        <w:t>Há um ano comprou três televisores em quatro meses, dois deles parcelados, sem consultar ninguém. O cartão foi retirado dele pela esposa. Reclamou no dia e, na semana seguinte, tentou comprar um aspirador pelo telefone.</w:t>
      </w:r>
    </w:p>
    <w:p>
      <w:pPr>
        <w:spacing w:after="140"/>
      </w:pPr>
      <w:r>
        <w:rPr>
          <w:color w:val="4A4A45"/>
          <w:sz w:val="24"/>
        </w:rPr>
        <w:t>Nos últimos oito meses passou a comer doce de forma compulsória — ganhou nove quilos, esconde bolacha no armário do quarto e come o doce dos netos. Faz o mesmo percurso a pé todos os dias, no mesmo horário, e conta a mesma piada várias vezes na mesma visita.</w:t>
      </w:r>
    </w:p>
    <w:p>
      <w:pPr>
        <w:spacing w:after="140"/>
      </w:pPr>
      <w:r>
        <w:rPr>
          <w:color w:val="4A4A45"/>
          <w:sz w:val="24"/>
        </w:rPr>
        <w:t>Quando a esposa chorou ao receber a notícia da morte de uma irmã, ele continuou vendo televisão e disse “não é comigo”. Era, até então, quem cuidava de todo mundo na família.</w:t>
      </w:r>
    </w:p>
    <w:p>
      <w:pPr>
        <w:spacing w:after="140"/>
      </w:pPr>
      <w:r>
        <w:rPr>
          <w:color w:val="4A4A45"/>
          <w:sz w:val="24"/>
        </w:rPr>
        <w:t>A memória não mudou. Lembra do almoço de domingo, do nome e da idade dos três netos, do valor das contas e de onde guardou os documentos. Nunca se perdeu na rua nem esqueceu compromisso.</w:t>
      </w:r>
    </w:p>
    <w:p>
      <w:pPr>
        <w:spacing w:after="140"/>
      </w:pPr>
      <w:r>
        <w:rPr>
          <w:color w:val="4A4A45"/>
          <w:sz w:val="24"/>
        </w:rPr>
        <w:t>Precisa ser lembrado de trocar de roupa e de se barbear. Não cozinha nem administra as contas desde que o cartão foi retirado — não por erro, mas porque a família assumiu.</w:t>
      </w:r>
    </w:p>
    <w:p>
      <w:pPr>
        <w:spacing w:after="140"/>
      </w:pPr>
      <w:r>
        <w:rPr>
          <w:color w:val="4A4A45"/>
          <w:sz w:val="24"/>
        </w:rPr>
        <w:t>Não reconhece problema nenhum. Diz que está “igual sempre foi” e que a filha “gosta de inventar doença”.</w:t>
      </w:r>
    </w:p>
    <w:p>
      <w:pPr>
        <w:spacing w:after="140"/>
      </w:pPr>
      <w:r>
        <w:rPr>
          <w:color w:val="4A4A45"/>
          <w:sz w:val="24"/>
        </w:rPr>
        <w:t>Sem história psiquiátrica prévia. Nega tristeza, desânimo ou perda de interesse; dorme bem; apetite aumentado, com preferência marcada por doce. Hipertenso, em uso de losartana 50 mg. Não usa álcool nem tabaco. Nenhum psicotrópico e nenhum fármaco com carga anticolinérgica.</w:t>
      </w:r>
    </w:p>
    <w:p>
      <w:pPr>
        <w:keepNext/>
        <w:spacing w:before="220" w:after="100"/>
      </w:pPr>
      <w:r>
        <w:rPr>
          <w:b/>
          <w:color w:val="1D3E6E"/>
          <w:sz w:val="22"/>
        </w:rPr>
        <w:t>O que se observa na avaliação</w:t>
      </w:r>
    </w:p>
    <w:p>
      <w:pPr>
        <w:spacing w:after="60"/>
        <w:ind w:left="360" w:hanging="220"/>
      </w:pPr>
      <w:r>
        <w:rPr>
          <w:color w:val="1D3E6E"/>
          <w:sz w:val="24"/>
        </w:rPr>
        <w:t>•  Vigil, orientado e sem lentificação. Responde no tempo, sem latência aumentada.</w:t>
      </w:r>
    </w:p>
    <w:p>
      <w:pPr>
        <w:spacing w:after="60"/>
        <w:ind w:left="360" w:hanging="220"/>
      </w:pPr>
      <w:r>
        <w:rPr>
          <w:color w:val="1D3E6E"/>
          <w:sz w:val="24"/>
        </w:rPr>
        <w:t>•  Chegou sem a guia de encaminhamento, dizendo que a filha “está exagerando”.</w:t>
      </w:r>
    </w:p>
    <w:p>
      <w:pPr>
        <w:spacing w:after="60"/>
        <w:ind w:left="360" w:hanging="220"/>
      </w:pPr>
      <w:r>
        <w:rPr>
          <w:color w:val="1D3E6E"/>
          <w:sz w:val="24"/>
        </w:rPr>
        <w:t>•  Fala fluente, sem alteração de articulação e sem parafasia; discurso pobre em conteúdo, com a mesma observação repetida três vezes na sessão.</w:t>
      </w:r>
    </w:p>
    <w:p>
      <w:pPr>
        <w:spacing w:after="60"/>
        <w:ind w:left="360" w:hanging="220"/>
      </w:pPr>
      <w:r>
        <w:rPr>
          <w:color w:val="1D3E6E"/>
          <w:sz w:val="24"/>
        </w:rPr>
        <w:t>•  Levantou-se duas vezes sem pedir licença e pegou a caneta da mesa do examinador, passando a mexer nela enquanto respondia.</w:t>
      </w:r>
    </w:p>
    <w:p>
      <w:pPr>
        <w:spacing w:after="60"/>
        <w:ind w:left="360" w:hanging="220"/>
      </w:pPr>
      <w:r>
        <w:rPr>
          <w:color w:val="1D3E6E"/>
          <w:sz w:val="24"/>
        </w:rPr>
        <w:t>•  Riu ao ser perguntado sobre a morte da cunhada.</w:t>
      </w:r>
    </w:p>
    <w:p>
      <w:pPr>
        <w:spacing w:after="60"/>
        <w:ind w:left="360" w:hanging="220"/>
      </w:pPr>
      <w:r>
        <w:rPr>
          <w:color w:val="1D3E6E"/>
          <w:sz w:val="24"/>
        </w:rPr>
        <w:t>•  Sem déficit auditivo. Usa óculos para leitura, trazidos à sessão. Sem déficit motor, sem tremor e sem rigidez.</w:t>
      </w:r>
    </w:p>
    <w:p>
      <w:pPr>
        <w:spacing w:after="60"/>
        <w:ind w:left="360" w:hanging="220"/>
      </w:pPr>
      <w:r>
        <w:rPr>
          <w:color w:val="1D3E6E"/>
          <w:sz w:val="24"/>
        </w:rPr>
        <w:t>•  Rastreio de humor sem indicativo de quadro depressivo — GDS-15 = 3.</w:t>
      </w:r>
    </w:p>
    <w:p>
      <w:pPr>
        <w:spacing w:after="60"/>
        <w:ind w:left="360" w:hanging="220"/>
      </w:pPr>
      <w:r>
        <w:rPr>
          <w:color w:val="1D3E6E"/>
          <w:sz w:val="24"/>
        </w:rPr>
        <w:t>•  MEEM = 27/30. Perdeu 2 pontos na atenção e cálculo e 1 na evocação. Ponto de corte da faixa de 8 anos ou mais de estudo (Brucki et al., 2003): 26.</w:t>
      </w:r>
    </w:p>
    <w:p>
      <w:pPr>
        <w:spacing w:after="60"/>
        <w:ind w:left="360" w:hanging="220"/>
      </w:pPr>
      <w:r>
        <w:rPr>
          <w:color w:val="1D3E6E"/>
          <w:sz w:val="24"/>
        </w:rPr>
        <w:t>•  Exames clínicos e laboratoriais realizados há três meses sem alteração que explique o quadro.</w:t>
      </w:r>
    </w:p>
    <w:p>
      <w:pPr>
        <w:spacing w:after="60"/>
        <w:ind w:left="360" w:hanging="220"/>
      </w:pPr>
      <w:r>
        <w:rPr>
          <w:color w:val="1D3E6E"/>
          <w:sz w:val="24"/>
        </w:rPr>
        <w:t>•  A filha esteve presente na primeira parte da entrevista e forneceu as informações sobre o funcionamento em casa; a aplicação da FAB foi feita com ela fora da sala.</w:t>
      </w:r>
    </w:p>
    <w:p>
      <w:pPr>
        <w:pBdr>
          <w:bottom w:val="single" w:sz="6" w:space="1" w:color="D5D4CC"/>
        </w:pBdr>
        <w:spacing w:before="160" w:after="200"/>
      </w:pPr>
    </w:p>
    <w:p>
      <w:pPr>
        <w:keepNext/>
        <w:spacing w:before="260" w:after="140"/>
      </w:pPr>
      <w:r>
        <w:rPr>
          <w:b/>
          <w:color w:val="1D3E6E"/>
          <w:sz w:val="26"/>
        </w:rPr>
        <w:t>FAB — protocolo</w:t>
      </w:r>
    </w:p>
    <w:p>
      <w:pPr>
        <w:spacing w:after="140"/>
      </w:pPr>
      <w:r>
        <w:rPr>
          <w:color w:val="4A4A45"/>
          <w:sz w:val="24"/>
        </w:rPr>
        <w:t>Aplicada numa clínica-escola do bairro da Aclimação, em São Paulo, numa terça-feira, dia 15 de setembro, às 9h30, em sala silenciosa, com o examinador sentado à frente do paciente. Duração total de nove minutos.</w:t>
      </w:r>
    </w:p>
    <w:p>
      <w:pPr>
        <w:spacing w:after="140"/>
      </w:pPr>
      <w:r>
        <w:rPr>
          <w:color w:val="4A4A45"/>
          <w:sz w:val="24"/>
        </w:rPr>
        <w:t>Nenhum subteste foi repetido e nenhuma instrução foi dada fora do protocolo. No subteste 1 houve a ajuda prevista após a falha no primeiro item, e por isso aquele item não pontua.</w:t>
      </w:r>
    </w:p>
    <w:p>
      <w:pPr>
        <w:spacing w:before="200" w:after="140"/>
      </w:pPr>
      <w:r>
        <w:rPr>
          <w:b/>
          <w:color w:val="4A4A45"/>
          <w:sz w:val="24"/>
        </w:rPr>
        <w:t>As respostas obtidas, subteste a subteste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20"/>
        <w:gridCol w:w="2300"/>
        <w:gridCol w:w="5900"/>
        <w:gridCol w:w="900"/>
      </w:tblGrid>
      <w:tr>
        <w:trPr>
          <w:tblHeader/>
        </w:trPr>
        <w:tc>
          <w:tcPr>
            <w:tcW w:type="dxa" w:w="52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Nº</w:t>
            </w:r>
          </w:p>
        </w:tc>
        <w:tc>
          <w:tcPr>
            <w:tcW w:type="dxa" w:w="23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Subteste e domínio</w:t>
            </w:r>
          </w:p>
        </w:tc>
        <w:tc>
          <w:tcPr>
            <w:tcW w:type="dxa" w:w="59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O que o paciente fez — registro verbatim</w:t>
            </w:r>
          </w:p>
        </w:tc>
        <w:tc>
          <w:tcPr>
            <w:tcW w:type="dxa" w:w="9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Pontos</w:t>
            </w: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1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Semelhanças</w:t>
              <w:br/>
              <w:t>conceituação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Banana e laranja: “É fruta.”  ·  Mesa e cadeira: “São de madeira. Lá em casa é tudo de madeira.”  ·  Tulipa, rosa e margarida: “Isso é coisa de mulher. São bonitas.”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2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Fluência lexical, letra S</w:t>
              <w:br/>
              <w:t>flexibilidade mental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Em 60 segundos, nesta ordem: “sapato... sapo... sapateiro... sala... Sandra, que é minha nora... sapato.” Depois: “Acabou. Não tem mais.”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3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Série motora</w:t>
              <w:br/>
              <w:t>programação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Acompanha sem erro as três séries feitas junto com o examinador. Sozinho, faz “punho, palma, punho, borda” e para. Retomado junto com o examinador, completa três séries consecutivas corretas. Sozinho de novo, não passa de duas.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4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Instruções conflitantes</w:t>
              <w:br/>
              <w:t>sensibilidade à interferência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Acerta as duas séries de treino. Na série de dez, bate o mesmo número que o examinador na 3ª, na 6ª e na 9ª tentativas; nas demais responde certo, e em duas delas corrige-se sozinho. Em nenhum momento imitou quatro vezes seguidas.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5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Vai–não vai</w:t>
              <w:br/>
              <w:t>controle inibitório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Acerta as duas séries de treino. Na série de dez, acerta as quatro primeiras e, da 5ª tentativa em diante, passa a bater exatamente o mesmo número de vezes que o examinador, sem exceção, até o fim da série — inclusive nas tentativas de duas batidas.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6</w:t>
            </w: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Comportamento de preensão</w:t>
              <w:br/>
              <w:t>autonomia ambiental</w:t>
            </w:r>
          </w:p>
        </w:tc>
        <w:tc>
          <w:tcPr>
            <w:tcW w:type="dxa" w:w="59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Instruído a não pegar as mãos do examinador. Com as palmas para cima sobre os joelhos, pega as duas mãos assim que elas tocam as suas, sem hesitar, e pergunta “o que é isso?”. Avisado de novo, na segunda tentativa mantém as mãos paradas.</w:t>
            </w:r>
          </w:p>
        </w:tc>
        <w:tc>
          <w:tcPr>
            <w:tcW w:type="dxa" w:w="900"/>
          </w:tcPr>
          <w:p>
            <w:pPr>
              <w:spacing w:after="0"/>
            </w:pPr>
          </w:p>
        </w:tc>
      </w:tr>
      <w:tr>
        <w:tc>
          <w:tcPr>
            <w:tcW w:type="dxa" w:w="520"/>
          </w:tcPr>
          <w:p>
            <w:pPr>
              <w:spacing w:after="0"/>
            </w:pPr>
          </w:p>
        </w:tc>
        <w:tc>
          <w:tcPr>
            <w:tcW w:type="dxa" w:w="2300"/>
          </w:tcPr>
          <w:p>
            <w:pPr>
              <w:spacing w:after="0"/>
            </w:pPr>
            <w:r>
              <w:rPr>
                <w:b/>
                <w:color w:val="4A4A45"/>
                <w:sz w:val="19"/>
              </w:rPr>
              <w:t>Escore total</w:t>
            </w:r>
          </w:p>
        </w:tc>
        <w:tc>
          <w:tcPr>
            <w:tcW w:type="dxa" w:w="5900"/>
          </w:tcPr>
          <w:p>
            <w:pPr>
              <w:spacing w:after="0"/>
            </w:pP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b/>
                <w:color w:val="4A4A45"/>
                <w:sz w:val="19"/>
              </w:rPr>
              <w:t>______ / 18</w:t>
            </w:r>
          </w:p>
        </w:tc>
      </w:tr>
    </w:tbl>
    <w:p>
      <w:pPr>
        <w:keepNext/>
        <w:spacing w:before="220" w:after="100"/>
      </w:pPr>
      <w:r>
        <w:rPr>
          <w:b/>
          <w:color w:val="1D3E6E"/>
          <w:sz w:val="22"/>
        </w:rPr>
        <w:t>Folha de correção</w:t>
      </w:r>
    </w:p>
    <w:p>
      <w:pPr>
        <w:spacing w:after="140"/>
      </w:pPr>
      <w:r>
        <w:rPr>
          <w:color w:val="4A4A45"/>
          <w:sz w:val="24"/>
        </w:rPr>
        <w:t>Regra: cada subteste vale de 0 a 3 pontos, e o total vai de 0 a 18. Pontue pelo critério escrito de cada subteste, não pela impressão geral do desempenho. Na fluência lexical, só contam palavras distintas: repetição, variação da mesma palavra e nome próprio não pontuam. Nas semelhanças, só resposta de categoria pontua. Anote à parte todo comportamento observado que não estava previsto no protocolo.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Subteste</w:t>
            </w:r>
          </w:p>
        </w:tc>
        <w:tc>
          <w:tcPr>
            <w:tcW w:type="dxa" w:w="32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Vale 3 pontos</w:t>
            </w:r>
          </w:p>
        </w:tc>
        <w:tc>
          <w:tcPr>
            <w:tcW w:type="dxa" w:w="3200"/>
            <w:shd w:val="clear" w:color="auto" w:fill="EDECE4"/>
          </w:tcPr>
          <w:p>
            <w:pPr>
              <w:spacing w:after="0"/>
            </w:pPr>
            <w:r>
              <w:rPr>
                <w:b/>
                <w:color w:val="000000"/>
                <w:sz w:val="19"/>
              </w:rPr>
              <w:t>Vale 0 ponto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1 · Semelhanças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as três respostas de categoria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nenhuma resposta de categoria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2 · Fluência lexical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mais de nove palavras válidas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menos de três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3 · Série motora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seis séries consecutivas sozinho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nem três séries junto com o examinador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4 · Instruções conflitantes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nenhum erro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bate como o examinador quatro vezes seguidas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5 · Vai–não vai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nenhum erro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bate como o examinador quatro vezes seguidas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6 · Preensão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não pega as mãos do examinador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pega mesmo depois de ter sido avisado</w:t>
            </w:r>
          </w:p>
        </w:tc>
      </w:tr>
    </w:tbl>
    <w:p>
      <w:pPr>
        <w:spacing w:before="140" w:after="140"/>
      </w:pPr>
      <w:r>
        <w:rPr>
          <w:color w:val="4A4A45"/>
          <w:sz w:val="24"/>
        </w:rPr>
        <w:t>Os valores intermediários estão no material da aula: nas semelhanças, duas e uma respostas certas valem 2 e 1; na fluência, de seis a nove palavras vale 2 e de três a cinco vale 1; na série motora, três séries sozinho valem 2 e três com o examinador valem 1; nos itens 4 e 5, um ou dois erros valem 2 e mais de dois valem 1; na preensão, hesitar e perguntar vale 2 e pegar sem hesitar vale 1.</w:t>
      </w:r>
    </w:p>
    <w:p>
      <w:pPr>
        <w:keepNext/>
        <w:spacing w:before="220" w:after="100"/>
      </w:pPr>
      <w:r>
        <w:rPr>
          <w:b/>
          <w:color w:val="1D3E6E"/>
          <w:sz w:val="22"/>
        </w:rPr>
        <w:t>Os números que interessam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200"/>
        <w:gridCol w:w="3400"/>
      </w:tblGrid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Escore total na FAB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 / 18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Escolaridade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 anos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Média da faixa de escolaridade (Beato et al., 2012)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 ± ______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Distância da média, em desvios-padrão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Ponto de corte brasileiro (Paula et al., 2013)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Rastreio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(  ) positivo      (  ) negativo</w:t>
            </w:r>
          </w:p>
        </w:tc>
      </w:tr>
      <w:tr>
        <w:tc>
          <w:tcPr>
            <w:tcW w:type="dxa" w:w="62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Subteste com a pontuação mais baixa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color w:val="4A4A45"/>
                <w:sz w:val="19"/>
              </w:rPr>
              <w:t>______</w:t>
            </w:r>
          </w:p>
        </w:tc>
      </w:tr>
    </w:tbl>
    <w:p>
      <w:pPr>
        <w:spacing w:before="140" w:after="140"/>
      </w:pPr>
      <w:r>
        <w:rPr>
          <w:color w:val="4A4A45"/>
          <w:sz w:val="24"/>
        </w:rPr>
        <w:t>Referência de normas — FAB, média ± desvio-padrão por escolaridade: 1 a 3 anos, 10,9 ± 2,3; 4 a 7 anos, 12,8 ± 2,7; 8 a 11 anos, 13,8 ± 2,2; 12 anos ou mais, 15,3 ± 2,3.</w:t>
      </w:r>
    </w:p>
    <w:p>
      <w:pPr>
        <w:pBdr>
          <w:bottom w:val="single" w:sz="6" w:space="1" w:color="D5D4CC"/>
        </w:pBdr>
        <w:spacing w:before="160" w:after="200"/>
      </w:pPr>
    </w:p>
    <w:p>
      <w:pPr>
        <w:keepNext/>
        <w:spacing w:before="220" w:after="100"/>
      </w:pPr>
      <w:r>
        <w:rPr>
          <w:b/>
          <w:color w:val="1D3E6E"/>
          <w:sz w:val="22"/>
        </w:rPr>
        <w:t>Para responder em grupo</w:t>
      </w:r>
    </w:p>
    <w:p>
      <w:pPr>
        <w:spacing w:after="60"/>
        <w:ind w:left="360" w:hanging="220"/>
      </w:pPr>
      <w:r>
        <w:rPr>
          <w:color w:val="1D3E6E"/>
          <w:sz w:val="24"/>
        </w:rPr>
        <w:t>•  Some os seis subtestes. Confira a fluência pela regra, e não pela contagem das palavras que ele disse.</w:t>
      </w:r>
    </w:p>
    <w:p>
      <w:pPr>
        <w:spacing w:after="60"/>
        <w:ind w:left="360" w:hanging="220"/>
      </w:pPr>
      <w:r>
        <w:rPr>
          <w:color w:val="1D3E6E"/>
          <w:sz w:val="24"/>
        </w:rPr>
        <w:t>•  Compare o total com a média da faixa de escolaridade dele — não com a média geral.</w:t>
      </w:r>
    </w:p>
    <w:p>
      <w:pPr>
        <w:spacing w:after="60"/>
        <w:ind w:left="360" w:hanging="220"/>
      </w:pPr>
      <w:r>
        <w:rPr>
          <w:color w:val="1D3E6E"/>
          <w:sz w:val="24"/>
        </w:rPr>
        <w:t>•  Os subtestes 4 e 5 parecem o mesmo teste. O que cada um pede, exatamente, e por que o desempenho foi diferente nos dois?</w:t>
      </w:r>
    </w:p>
    <w:p>
      <w:pPr>
        <w:spacing w:after="60"/>
        <w:ind w:left="360" w:hanging="220"/>
      </w:pPr>
      <w:r>
        <w:rPr>
          <w:color w:val="1D3E6E"/>
          <w:sz w:val="24"/>
        </w:rPr>
        <w:t>•  Olhe o perfil dos seis itens, não só o total. Onde está a queda mais acentuada?</w:t>
      </w:r>
    </w:p>
    <w:p>
      <w:pPr>
        <w:spacing w:after="60"/>
        <w:ind w:left="360" w:hanging="220"/>
      </w:pPr>
      <w:r>
        <w:rPr>
          <w:color w:val="1D3E6E"/>
          <w:sz w:val="24"/>
        </w:rPr>
        <w:t>•  Qual das três funções executivas básicas está mais comprometida? Justifique com os itens, e não com a história.</w:t>
      </w:r>
    </w:p>
    <w:p>
      <w:pPr>
        <w:spacing w:after="60"/>
        <w:ind w:left="360" w:hanging="220"/>
      </w:pPr>
      <w:r>
        <w:rPr>
          <w:color w:val="1D3E6E"/>
          <w:sz w:val="24"/>
        </w:rPr>
        <w:t>•  Os comportamentos que a filha descreve têm a mesma cara que os erros do teste? Aponte item por item.</w:t>
      </w:r>
    </w:p>
    <w:p>
      <w:pPr>
        <w:spacing w:after="60"/>
        <w:ind w:left="360" w:hanging="220"/>
      </w:pPr>
      <w:r>
        <w:rPr>
          <w:color w:val="1D3E6E"/>
          <w:sz w:val="24"/>
        </w:rPr>
        <w:t>•  O MEEM está acima do ponto de corte. O que isso permite — e o que não permite — concluir?</w:t>
      </w:r>
    </w:p>
    <w:p>
      <w:pPr>
        <w:spacing w:after="60"/>
        <w:ind w:left="360" w:hanging="220"/>
      </w:pPr>
      <w:r>
        <w:rPr>
          <w:color w:val="1D3E6E"/>
          <w:sz w:val="24"/>
        </w:rPr>
        <w:t>•  Ele não reconhece problema nenhum. Isso é negação psicológica ou parte do próprio déficit? O que decide a resposta?</w:t>
      </w:r>
    </w:p>
    <w:p>
      <w:pPr>
        <w:spacing w:before="200" w:after="140"/>
      </w:pPr>
      <w:r>
        <w:rPr>
          <w:color w:val="4A4A45"/>
          <w:sz w:val="24"/>
        </w:rPr>
        <w:t>Com base na discussão, escrevam um parágrafo de resumo dos achados.</w:t>
      </w:r>
    </w:p>
    <w:p>
      <w:pPr>
        <w:spacing w:after="140"/>
      </w:pPr>
      <w:r>
        <w:rPr>
          <w:i/>
          <w:color w:val="4A4A45"/>
          <w:sz w:val="24"/>
        </w:rPr>
        <w:t>Modelo de parágrafo: O Sr. Osmar foi encaminhado à avaliação por xxxxxxxx, após um quadro de xxxxxxxx (evolução da queixa) instalado sobre uma história de vida marcada por xxxxxxxx (escolaridade, trabalho, temperamento prévio). Na FAB, o escore total foi de xx pontos em 18. Comparado à média da faixa de escolaridade dele (xx ± xx), o resultado está [acima do esperado / dentro do esperado / abaixo do esperado], e em relação ao ponto de corte o rastreio é [positivo / negativo]. O perfil dos seis subtestes mostra xxxxxxxx, com a queda mais acentuada em xxxxxxxx, o que aponta comprometimento predominante de xxxxxxxx (controle inibitório, memória operacional ou flexibilidade cognitiva). Esse padrão [corresponde / não corresponde] ao que a família descreve em casa, porque xxxxxxxx. O MEEM de xx/30 indica que xxxxxxxx. Para avançar da descrição da função à hipótese etiológica ainda seria preciso xxxxxxxx.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p>
      <w:pPr>
        <w:spacing w:after="100"/>
      </w:pPr>
      <w:r>
        <w:rPr>
          <w:color w:val="D5D4CC"/>
          <w:sz w:val="24"/>
        </w:rPr>
        <w:t>______________________________________________________________________________________________________________________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