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 xml:space="preserve">Seminário · Processos Cognitivos no Cotidiano</w:t>
      </w:r>
    </w:p>
    <w:p>
      <w:pPr>
        <w:pStyle w:val="Subttulo"/>
      </w:pPr>
      <w:r>
        <w:t xml:space="preserve">Processos Cognitivos e Neurociências · Documento de orientação para os grupos</w:t>
      </w:r>
    </w:p>
    <w:p>
      <w:pPr>
        <w:pStyle w:val="Ttulo1"/>
      </w:pPr>
      <w:r>
        <w:t xml:space="preserve">Apresentação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Este documento reúne as orientações para a preparação dos seminários da disciplina de Processos Cognitivos e Neurociências. Ao longo do semestre estudamos como o cérebro sente, percebe, presta atenção, lembra, se comunica e se emociona. Nos seminários, a proposta é fazer o caminho inverso: partir de uma situação comum do dia a dia e explicá-la com os conceitos vistos em aula.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Cada grupo ficará responsável por um tema ligado ao cotidiano da turma, como as redes sociais, o celular, as conversas por mensagem e as notícias que circulam na internet. Todos os grupos recebem este mesmo documento de orientação; o que muda de um grupo para outro é o fenômeno a ser explicado.</w:t>
      </w:r>
    </w:p>
    <w:p>
      <w:pPr>
        <w:pStyle w:val="Ttulo1"/>
      </w:pPr>
      <w:r>
        <w:t xml:space="preserve">Objetivos de aprendizagem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Espera-se que, ao final dos seminários, a turma seja capaz de: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Relacionar situações do cotidiano aos processos cognitivos estudados na disciplina;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Explicar, em linguagem clara, o que acontece no cérebro em cada fenômeno apresentado;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Diferenciar uma explicação sustentada por pesquisa de uma ideia do senso comum;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Buscar, selecionar e citar fontes confiáveis.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Além do conteúdo de cada tema, a preparação do seminário favorece competências que acompanham toda a formação em Psicologia, como a pesquisa em fontes científicas, a apresentação em público e o trabalho em equipe.</w:t>
      </w:r>
    </w:p>
    <w:p>
      <w:pPr>
        <w:pStyle w:val="Ttulo1"/>
      </w:pPr>
      <w:r>
        <w:t xml:space="preserve">Os temas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tabela abaixo traz os sete temas, quem já está responsável por cada um e os conceitos da disciplina que ajudam a explicá-los. Os conceitos são um ponto de partida: o grupo pode trazer outros, desde que tenham relação com o tema.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3900"/>
        <w:gridCol w:w="1400"/>
        <w:gridCol w:w="3726"/>
      </w:tblGrid>
      <w:tr>
        <w:trPr>
          <w:tblHeader/>
        </w:trPr>
        <w:tc>
          <w:tcPr>
            <w:tcW w:w="3900" w:type="dxa"/>
            <w:shd w:val="clear" w:color="auto" w:fill="E7E6E6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w="1400" w:type="dxa"/>
            <w:shd w:val="clear" w:color="auto" w:fill="E7E6E6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3726" w:type="dxa"/>
            <w:shd w:val="clear" w:color="auto" w:fill="E7E6E6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Conceitos para explorar</w:t>
            </w:r>
          </w:p>
        </w:tc>
      </w:tr>
      <w:tr>
        <w:trPr>
          <w:cantSplit/>
        </w:trP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1. Ilusões de ótica e ilusões visuais na internet</w:t>
            </w:r>
          </w:p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Como o cérebro “constrói” o que vemos e por que pessoas diferentes enxergam a mesma imagem de formas distintas (ex.: a foto do vestido azul/dourado).</w:t>
            </w:r>
          </w:p>
        </w:tc>
        <w:tc>
          <w:tcPr>
            <w:tcW w:w="14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Bianca</w:t>
            </w:r>
          </w:p>
        </w:tc>
        <w:tc>
          <w:tcPr>
            <w:tcW w:w="3726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Sensação e percepção; processamento de baixo para cima e de cima para baixo; constância de cor; princípios da Gestalt.</w:t>
            </w:r>
          </w:p>
        </w:tc>
      </w:tr>
      <w:tr>
        <w:trPr>
          <w:cantSplit/>
        </w:trP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2. Por que lembramos de coisas que não aconteceram?</w:t>
            </w:r>
          </w:p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Como falsas memórias são criadas por conversas, fotos antigas ou histórias de família.</w:t>
            </w:r>
          </w:p>
        </w:tc>
        <w:tc>
          <w:tcPr>
            <w:tcW w:w="14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Mariana</w:t>
            </w:r>
          </w:p>
        </w:tc>
        <w:tc>
          <w:tcPr>
            <w:tcW w:w="3726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Codificação, armazenamento e recuperação; memória como reconstrução; efeito da desinformação.</w:t>
            </w:r>
          </w:p>
        </w:tc>
      </w:tr>
      <w:tr>
        <w:trPr>
          <w:cantSplit/>
        </w:trP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3. O uso de emojis e figurinhas nas mensagens</w:t>
            </w:r>
          </w:p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Como substituímos o tom de voz e as expressões do rosto na conversa por texto.</w:t>
            </w:r>
          </w:p>
        </w:tc>
        <w:tc>
          <w:tcPr>
            <w:tcW w:w="14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Giovanna</w:t>
            </w:r>
          </w:p>
        </w:tc>
        <w:tc>
          <w:tcPr>
            <w:tcW w:w="3726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Linguagem e comunicação não verbal; reconhecimento de emoções; expressões faciais.</w:t>
            </w:r>
          </w:p>
        </w:tc>
      </w:tr>
      <w:tr>
        <w:trPr>
          <w:cantSplit/>
        </w:trP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4. Por que acreditamos em fake news?</w:t>
            </w:r>
          </w:p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Como o cérebro prefere acreditar no que confirma o que já pensamos, sem checar se é verdade.</w:t>
            </w:r>
          </w:p>
        </w:tc>
        <w:tc>
          <w:tcPr>
            <w:tcW w:w="14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 definir</w:t>
            </w:r>
          </w:p>
        </w:tc>
        <w:tc>
          <w:tcPr>
            <w:tcW w:w="3726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Pensamento e tomada de decisão; heurísticas; viés de confirmação; atenção seletiva.</w:t>
            </w:r>
          </w:p>
        </w:tc>
      </w:tr>
      <w:tr>
        <w:trPr>
          <w:cantSplit/>
        </w:trP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5. O vício em “curtidas” nas redes sociais</w:t>
            </w:r>
          </w:p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 que acontece no cérebro quando recebemos uma notificação e por que isso gera ansiedade ou bem-estar rápido.</w:t>
            </w:r>
          </w:p>
        </w:tc>
        <w:tc>
          <w:tcPr>
            <w:tcW w:w="14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Alysson</w:t>
            </w:r>
          </w:p>
        </w:tc>
        <w:tc>
          <w:tcPr>
            <w:tcW w:w="3726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Motivação e emoção; sistema de recompensa e dopamina; reforço e aprendizagem.</w:t>
            </w:r>
          </w:p>
        </w:tc>
      </w:tr>
      <w:tr>
        <w:trPr>
          <w:cantSplit/>
        </w:trP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6. Procrastinação e uso do celular</w:t>
            </w:r>
          </w:p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Por que é tão difícil desligar o celular para ir estudar, e como o cérebro controla (ou falha em controlar) o foco e os impulsos.</w:t>
            </w:r>
          </w:p>
        </w:tc>
        <w:tc>
          <w:tcPr>
            <w:tcW w:w="14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 definir</w:t>
            </w:r>
          </w:p>
        </w:tc>
        <w:tc>
          <w:tcPr>
            <w:tcW w:w="3726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Atenção; funções executivas; controle inibitório; córtex pré-frontal.</w:t>
            </w:r>
          </w:p>
        </w:tc>
      </w:tr>
      <w:tr>
        <w:trPr>
          <w:cantSplit/>
        </w:trP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7. Empatia e “se colocar no lugar do outro”</w:t>
            </w:r>
          </w:p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Como o cérebro entende o que outra pessoa está sentindo por meio de gestos e expressões faciais.</w:t>
            </w:r>
          </w:p>
        </w:tc>
        <w:tc>
          <w:tcPr>
            <w:tcW w:w="1400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Paulo Henrique</w:t>
            </w:r>
          </w:p>
        </w:tc>
        <w:tc>
          <w:tcPr>
            <w:tcW w:w="3726" w:type="dxa"/>
            <w:tcMar>
              <w:top w:w="80" w:type="dxa"/>
              <w:bottom w:w="8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Emoção; cognição social; reconhecimento de expressões faciais; teoria da mente.</w:t>
            </w:r>
          </w:p>
        </w:tc>
      </w:tr>
    </w:tbl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/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Independentemente do tema, sugere-se que cada apresentação contemple: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O fenômeno: </w:t>
      </w:r>
      <w:r>
        <w:rPr>
          <w:rFonts w:ascii="Calibri" w:eastAsia="Calibri" w:hAnsi="Calibri" w:cs="Calibri"/>
          <w:color w:val="000000"/>
        </w:rPr>
        <w:t xml:space="preserve">a situação do cotidiano, com um exemplo que a turma reconheça;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Os processos cognitivos envolvidos: </w:t>
      </w:r>
      <w:r>
        <w:rPr>
          <w:rFonts w:ascii="Calibri" w:eastAsia="Calibri" w:hAnsi="Calibri" w:cs="Calibri"/>
          <w:color w:val="000000"/>
        </w:rPr>
        <w:t xml:space="preserve">quais conceitos da disciplina explicam o que está acontecendo;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O que acontece no cérebro: </w:t>
      </w:r>
      <w:r>
        <w:rPr>
          <w:rFonts w:ascii="Calibri" w:eastAsia="Calibri" w:hAnsi="Calibri" w:cs="Calibri"/>
          <w:color w:val="000000"/>
        </w:rPr>
        <w:t xml:space="preserve">as estruturas e os mecanismos principais, no nível visto em aula;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O que a pesquisa mostra: </w:t>
      </w:r>
      <w:r>
        <w:rPr>
          <w:rFonts w:ascii="Calibri" w:eastAsia="Calibri" w:hAnsi="Calibri" w:cs="Calibri"/>
          <w:color w:val="000000"/>
        </w:rPr>
        <w:t xml:space="preserve">ao menos um estudo ou experimento que sustente a explicação;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Aplicação: </w:t>
      </w:r>
      <w:r>
        <w:rPr>
          <w:rFonts w:ascii="Calibri" w:eastAsia="Calibri" w:hAnsi="Calibri" w:cs="Calibri"/>
          <w:color w:val="000000"/>
        </w:rPr>
        <w:t xml:space="preserve">o que a turma pode fazer com esse conhecimento no dia a dia (por exemplo, como checar uma notícia antes de compartilhar ou como organizar o estudo longe do celular).</w:t>
      </w:r>
    </w:p>
    <w:p>
      <w:pPr>
        <w:pStyle w:val="Ttulo1"/>
      </w:pPr>
      <w:r>
        <w:t xml:space="preserve">Orientações para a preparação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livro-texto da disciplina (Feldman, Introdução à Psicologia) e o material das aulas são o ponto de partida da preparação, mas não devem ser as únicas fontes consultadas. Estimula-se a busca por outras referências e ferramentas, tais como: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Capítulos de livros de Psicologia Cognitiva e de Neurociências;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Artigos científicos em bases como SciELO, PubMed e Google Acadêmico;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Materiais de divulgação científica com autoria identificada (universidades, revistas científicas, pesquisadores);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Imagens, vídeos curtos e demonstrações que ajudem a turma a vivenciar o fenômeno.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Evitem páginas sem autor e textos de opinião como fonte de explicação. Ferramentas de inteligência artificial podem ajudar a organizar as ideias, mas toda informação apresentada precisa ter sido conferida em uma fonte que o grupo consiga citar. A profundidade da pesquisa e a qualidade das fontes serão consideradas na avaliação. Ao final da apresentação, o grupo deve indicar as referências utilizadas.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Sobre os slides: eles são apoio para quem fala, e não um texto para ser lido. Prefiram uma ideia por slide, pouco texto e boas imagens. A explicação fica com quem apresenta.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tempo de apresentação de cada grupo deverá ser de 20 a 30 minutos, incluindo qualquer atividade proposta à turma.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datas das apresentações serão definidas em sala.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Durante toda a elaboração do seminário, os grupos são estimulados a procurar o professor para esclarecer dúvidas e discutir o andamento do trabalho.</w:t>
      </w:r>
    </w:p>
    <w:p>
      <w:pPr>
        <w:pStyle w:val="Ttulo1"/>
      </w:pPr>
      <w:r>
        <w:t xml:space="preserve">Critérios de avaliação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seminário será avaliado com base nos cinco critérios a seguir: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Apresentação audiovisual: </w:t>
      </w:r>
      <w:r>
        <w:rPr>
          <w:rFonts w:ascii="Calibri" w:eastAsia="Calibri" w:hAnsi="Calibri" w:cs="Calibri"/>
          <w:color w:val="000000"/>
        </w:rPr>
        <w:t xml:space="preserve">qualidade, clareza e organização dos slides utilizados como apoio à apresentação.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Apresentação verbal dos integrantes: </w:t>
      </w:r>
      <w:r>
        <w:rPr>
          <w:rFonts w:ascii="Calibri" w:eastAsia="Calibri" w:hAnsi="Calibri" w:cs="Calibri"/>
          <w:color w:val="000000"/>
        </w:rPr>
        <w:t xml:space="preserve">clareza, domínio do conteúdo e desenvoltura na exposição oral. Não é obrigatório que todos falem, mas é encorajado que o grupo todo participe da apresentação.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Postura do grupo: </w:t>
      </w:r>
      <w:r>
        <w:rPr>
          <w:rFonts w:ascii="Calibri" w:eastAsia="Calibri" w:hAnsi="Calibri" w:cs="Calibri"/>
          <w:color w:val="000000"/>
        </w:rPr>
        <w:t xml:space="preserve">envolvimento e conduta durante toda a elaboração da atividade, incluindo a participação de todos os integrantes na preparação do seminário.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Aprofundamento teórico: </w:t>
      </w:r>
      <w:r>
        <w:rPr>
          <w:rFonts w:ascii="Calibri" w:eastAsia="Calibri" w:hAnsi="Calibri" w:cs="Calibri"/>
          <w:color w:val="000000"/>
        </w:rPr>
        <w:t xml:space="preserve">uso correto dos conceitos da disciplina para explicar o fenômeno e busca por fontes confiáveis além do material das aulas.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Criatividade: </w:t>
      </w:r>
      <w:r>
        <w:rPr>
          <w:rFonts w:ascii="Calibri" w:eastAsia="Calibri" w:hAnsi="Calibri" w:cs="Calibri"/>
          <w:color w:val="000000"/>
        </w:rPr>
        <w:t xml:space="preserve">originalidade na forma de transmitir o conteúdo, com dinâmicas, demonstrações e recursos que envolvam a turma (por exemplo, mostrar uma ilusão ou fazer um pequeno teste de memória com os colegas).</w:t>
      </w:r>
    </w:p>
    <w:p>
      <w:pPr>
        <w:pStyle w:val="Ttulo1"/>
      </w:pPr>
      <w:r>
        <w:t xml:space="preserve">Considerações finais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Mais do que cumprir uma etapa avaliativa, espera-se que os seminários mostrem à turma que os processos cognitivos estudados em aula estão presentes em situações muito comuns, do celular na mão à conversa com um amigo. Entender esses processos ajuda a olhar para o próprio comportamento com mais atenção e senso crítico.</w:t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/>
      </w:r>
    </w:p>
    <w:p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Bom trabalho a todos os grupos!</w:t>
      </w:r>
    </w:p>
    <w:sectPr w:rsidR="00BF3E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4220D" w14:textId="77777777" w:rsidR="003940F4" w:rsidRDefault="003940F4">
      <w:pPr>
        <w:spacing w:after="0" w:line="240" w:lineRule="auto"/>
      </w:pPr>
      <w:r>
        <w:separator/>
      </w:r>
    </w:p>
  </w:endnote>
  <w:endnote w:type="continuationSeparator" w:id="0">
    <w:p w14:paraId="0B74D062" w14:textId="77777777" w:rsidR="003940F4" w:rsidRDefault="00394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48B637B-BB4A-4B3C-82F2-335CFC2B81F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3E67D18-0B16-4184-BAF3-1E6433EDC6B9}"/>
    <w:embedBold r:id="rId3" w:fontKey="{518F847D-4288-49DE-8302-FFF9D81B7CB8}"/>
    <w:embedItalic r:id="rId4" w:fontKey="{BD73C74C-C343-4A04-B871-8E502279B674}"/>
  </w:font>
  <w:font w:name="Play">
    <w:charset w:val="00"/>
    <w:family w:val="auto"/>
    <w:pitch w:val="default"/>
    <w:embedRegular r:id="rId5" w:fontKey="{2218E564-5E41-4C86-8069-B2941E71AF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D3CE073-45DB-4354-9542-0CA314080CFE}"/>
    <w:embedBold r:id="rId7" w:fontKey="{728A262C-A88D-4F39-B97B-5AE13404CA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E98644F-2824-4FA6-AE33-41178E7311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BF3EA5" w:rsidRDefault="00BF3E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BF3EA5" w:rsidRDefault="00BF3E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5" w14:textId="77777777" w:rsidR="00BF3EA5" w:rsidRDefault="00BF3E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61A83" w14:textId="77777777" w:rsidR="003940F4" w:rsidRDefault="003940F4">
      <w:pPr>
        <w:spacing w:after="0" w:line="240" w:lineRule="auto"/>
      </w:pPr>
      <w:r>
        <w:separator/>
      </w:r>
    </w:p>
  </w:footnote>
  <w:footnote w:type="continuationSeparator" w:id="0">
    <w:p w14:paraId="61D0962B" w14:textId="77777777" w:rsidR="003940F4" w:rsidRDefault="00394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BF3EA5" w:rsidRDefault="00BF3E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F3EA5" w:rsidRDefault="00BF3E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BF3EA5" w:rsidRDefault="00BF3E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15E7"/>
    <w:multiLevelType w:val="multilevel"/>
    <w:tmpl w:val="DECE18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C1A6350"/>
    <w:multiLevelType w:val="multilevel"/>
    <w:tmpl w:val="8CFAD8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9271B"/>
    <w:multiLevelType w:val="multilevel"/>
    <w:tmpl w:val="D0944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0E55D4"/>
    <w:multiLevelType w:val="multilevel"/>
    <w:tmpl w:val="B5726B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32199341">
    <w:abstractNumId w:val="3"/>
  </w:num>
  <w:num w:numId="2" w16cid:durableId="1801726352">
    <w:abstractNumId w:val="0"/>
  </w:num>
  <w:num w:numId="3" w16cid:durableId="1116679547">
    <w:abstractNumId w:val="1"/>
  </w:num>
  <w:num w:numId="4" w16cid:durableId="251401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EA5"/>
    <w:rsid w:val="003940F4"/>
    <w:rsid w:val="007B3920"/>
    <w:rsid w:val="00BF3EA5"/>
    <w:rsid w:val="00E2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A8CA"/>
  <w15:docId w15:val="{A53629DB-0771-4F8A-9C3C-C8002E8E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ezkfRil5dQ67p5hKX+6Rw1vZ4g==">CgMxLjA4AHIhMVlYd1o5S0VYTVl4ZUtRNGZMTGJ5SHoyOGp4eldHMVNI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786</Words>
  <Characters>4245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Peres Barbieri</cp:lastModifiedBy>
  <cp:revision>1</cp:revision>
  <dcterms:created xsi:type="dcterms:W3CDTF">2026-09-29T12:00:00Z</dcterms:created>
  <dcterms:modified xsi:type="dcterms:W3CDTF">2026-09-29T12:00:00Z</dcterms:modified>
</cp:coreProperties>
</file>