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TURKISH LEGAL RAG</w:t>
      </w:r>
    </w:p>
    <w:p>
      <w:pPr>
        <w:pStyle w:val="Normal"/>
        <w:jc w:val="center"/>
        <w:rPr>
          <w:rFonts w:ascii="Arial" w:hAnsi="Arial" w:eastAsia="Arial"/>
          <w:b/>
          <w:sz w:val="22"/>
          <w:szCs w:val="22"/>
        </w:rPr>
      </w:pPr>
      <w:r>
        <w:rPr>
          <w:rFonts w:eastAsia="Arial"/>
          <w:b/>
          <w:sz w:val="22"/>
          <w:szCs w:val="22"/>
        </w:rPr>
        <w:t>CENG 493 TERM PROJECT</w:t>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BARBAROS MURAT DÖNMEZ 202011019</w:t>
      </w:r>
    </w:p>
    <w:p>
      <w:pPr>
        <w:pStyle w:val="Normal"/>
        <w:jc w:val="center"/>
        <w:rPr>
          <w:rFonts w:ascii="Arial" w:hAnsi="Arial" w:eastAsia="Arial"/>
          <w:b/>
          <w:sz w:val="22"/>
          <w:szCs w:val="22"/>
        </w:rPr>
      </w:pPr>
      <w:r>
        <w:rPr>
          <w:rFonts w:eastAsia="Arial"/>
          <w:b/>
          <w:sz w:val="22"/>
          <w:szCs w:val="22"/>
        </w:rPr>
        <w:t>ÖMER FARUK ŞAHİN 202111073</w:t>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Development and Evaluation of a Retrieval-Augmented Generation System in the Turkish Legal Domain</w:t>
      </w:r>
    </w:p>
    <w:p>
      <w:pPr>
        <w:pStyle w:val="Normal"/>
        <w:rPr>
          <w:sz w:val="22"/>
          <w:szCs w:val="22"/>
        </w:rPr>
      </w:pPr>
      <w:r>
        <w:rPr>
          <w:sz w:val="22"/>
          <w:szCs w:val="22"/>
        </w:rPr>
      </w:r>
    </w:p>
    <w:p>
      <w:pPr>
        <w:pStyle w:val="Heading1"/>
        <w:rPr>
          <w:sz w:val="22"/>
          <w:szCs w:val="22"/>
        </w:rPr>
      </w:pPr>
      <w:r>
        <w:rPr>
          <w:rFonts w:eastAsia="Arial" w:ascii="Arial" w:hAnsi="Arial"/>
          <w:sz w:val="22"/>
          <w:szCs w:val="22"/>
        </w:rPr>
        <w:t>General Summary</w:t>
      </w:r>
    </w:p>
    <w:p>
      <w:pPr>
        <w:pStyle w:val="Normal"/>
        <w:spacing w:lineRule="auto" w:line="252" w:before="0" w:after="100"/>
        <w:rPr>
          <w:sz w:val="22"/>
          <w:szCs w:val="22"/>
        </w:rPr>
      </w:pPr>
      <w:r>
        <w:rPr>
          <w:rFonts w:eastAsia="Arial"/>
          <w:sz w:val="22"/>
          <w:szCs w:val="22"/>
        </w:rPr>
        <w:t>In this project, a Retrieval-Augmented Generation system operating in the Turkish legal domain was developed and the different stages of the system were compared on the same benchmark. The main focus of the study is not only to build a model that produces answers, but to create a legal RAG architecture that can find the correct legal document and article, ground its answer in a source, generate citations, and measure hallucination risk.</w:t>
      </w:r>
    </w:p>
    <w:p>
      <w:pPr>
        <w:pStyle w:val="Normal"/>
        <w:spacing w:lineRule="auto" w:line="252" w:before="0" w:after="100"/>
        <w:rPr>
          <w:rFonts w:ascii="Arial" w:hAnsi="Arial" w:eastAsia="Arial"/>
          <w:sz w:val="22"/>
          <w:szCs w:val="22"/>
        </w:rPr>
      </w:pPr>
      <w:r>
        <w:rPr>
          <w:rFonts w:eastAsia="Arial"/>
          <w:sz w:val="22"/>
          <w:szCs w:val="22"/>
        </w:rPr>
        <w:t>The project started with an old Kaggle-only baseline and was later improved through data cleaning, corpus normalization, dense retrieval, sparse retrieval, hybrid retrieval, reranker, embedding tuning, reranker tuning, and LLM fine-tuning stages. In the final system selection, not only answer-overlap metrics such as token F1 or ROUGE-L were considered, but also citation accuracy, grounded citation score, and hallucination risk.</w:t>
      </w:r>
    </w:p>
    <w:p>
      <w:pPr>
        <w:pStyle w:val="Normal"/>
        <w:spacing w:lineRule="auto" w:line="252" w:before="0" w:after="100"/>
        <w:rPr>
          <w:rFonts w:ascii="Arial" w:hAnsi="Arial" w:eastAsia="Arial"/>
          <w:sz w:val="22"/>
          <w:szCs w:val="22"/>
        </w:rPr>
      </w:pPr>
      <w:r>
        <w:rPr>
          <w:rFonts w:eastAsia="Arial"/>
          <w:sz w:val="22"/>
          <w:szCs w:val="22"/>
        </w:rPr>
        <w:t xml:space="preserve">Github: </w:t>
      </w:r>
      <w:r>
        <w:rPr>
          <w:rFonts w:eastAsia="Arial"/>
          <w:b/>
          <w:bCs/>
          <w:sz w:val="22"/>
          <w:szCs w:val="22"/>
        </w:rPr>
        <w:t>https://github.com/barbo0909/TURKISH_LEGAL_RAG</w:t>
      </w:r>
    </w:p>
    <w:p>
      <w:pPr>
        <w:pStyle w:val="Normal"/>
        <w:spacing w:lineRule="auto" w:line="252" w:before="0" w:after="100"/>
        <w:rPr>
          <w:rFonts w:ascii="Arial" w:hAnsi="Arial" w:eastAsia="Arial"/>
          <w:sz w:val="22"/>
          <w:szCs w:val="22"/>
        </w:rPr>
      </w:pPr>
      <w:r>
        <w:rPr>
          <w:rFonts w:eastAsia="Arial"/>
          <w:sz w:val="22"/>
          <w:szCs w:val="22"/>
        </w:rPr>
      </w:r>
    </w:p>
    <w:p>
      <w:pPr>
        <w:pStyle w:val="Heading2"/>
        <w:rPr>
          <w:sz w:val="22"/>
          <w:szCs w:val="22"/>
        </w:rPr>
      </w:pPr>
      <w:r>
        <w:rPr>
          <w:rFonts w:eastAsia="Arial" w:ascii="Arial" w:hAnsi="Arial"/>
          <w:sz w:val="22"/>
          <w:szCs w:val="22"/>
        </w:rPr>
        <w:t>Short Results Summary</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Best / important result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Old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 = 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retrieval after normalized corpus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Best retrieval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Safest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Effect of the fine-tuned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increased token_f1 and rouge_l values; however, it remained riskier than the base model in terms of citation-grounding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 + 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summary table shows that the largest gain in the system was obtained on the retrieval side. In the old baseline, the rate of finding the correct article within the first 5 results was 0.0526, while this value increased to 0.837 with the final retrieval stack. This improvement enabled the system not only to generate better answers, but also to ground the answer in the correct legal article.</w:t>
      </w:r>
    </w:p>
    <w:p>
      <w:pPr>
        <w:pStyle w:val="Heading1"/>
        <w:rPr>
          <w:sz w:val="22"/>
          <w:szCs w:val="22"/>
        </w:rPr>
      </w:pPr>
      <w:r>
        <w:rPr>
          <w:rFonts w:eastAsia="Arial" w:ascii="Arial" w:hAnsi="Arial"/>
          <w:sz w:val="22"/>
          <w:szCs w:val="22"/>
        </w:rPr>
        <w:t>Experimental Environment and Models Used</w:t>
      </w:r>
    </w:p>
    <w:p>
      <w:pPr>
        <w:pStyle w:val="Normal"/>
        <w:spacing w:lineRule="auto" w:line="252" w:before="0" w:after="100"/>
        <w:rPr>
          <w:sz w:val="22"/>
          <w:szCs w:val="22"/>
        </w:rPr>
      </w:pPr>
      <w:r>
        <w:rPr>
          <w:rFonts w:eastAsia="Arial"/>
          <w:sz w:val="22"/>
          <w:szCs w:val="22"/>
        </w:rPr>
        <w:t>Different retrieval and generation components were compared in the experiments. On the retrieval side, dense, sparse, hybrid, and reranker-based approaches were tested. On the generation side, base and fine-tuned LLM systems were compared.</w:t>
      </w:r>
    </w:p>
    <w:p>
      <w:pPr>
        <w:pStyle w:val="Normal"/>
        <w:spacing w:lineRule="auto" w:line="252" w:before="0" w:after="100"/>
        <w:rPr>
          <w:rFonts w:ascii="Arial" w:hAnsi="Arial" w:eastAsia="Arial"/>
          <w:sz w:val="22"/>
          <w:szCs w:val="22"/>
        </w:rPr>
      </w:pPr>
      <w:r>
        <w:rPr>
          <w:rFonts w:eastAsia="Arial"/>
          <w:sz w:val="22"/>
          <w:szCs w:val="22"/>
        </w:rPr>
      </w:r>
    </w:p>
    <w:p>
      <w:pPr>
        <w:pStyle w:val="Normal"/>
        <w:spacing w:lineRule="auto" w:line="252" w:before="0" w:after="100"/>
        <w:rPr>
          <w:rFonts w:ascii="Arial" w:hAnsi="Arial" w:eastAsia="Arial"/>
          <w:sz w:val="22"/>
          <w:szCs w:val="22"/>
        </w:rPr>
      </w:pPr>
      <w:r>
        <w:rPr>
          <w:rFonts w:eastAsia="Arial"/>
          <w:sz w:val="22"/>
          <w:szCs w:val="22"/>
        </w:rPr>
        <w:t>The main systems and models used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Method / model used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Sparse retrieval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Dense retrieval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dense retriever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reranker experiment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reranker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Qwen3-Reranker-8B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Qwen3 reranker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generation model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LLM fine-tuning experiment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strong base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fine-tuned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All systems were evaluated on the same 190-question benchmark. Thus, the comparisons made between systems were based on the same test conditions.</w:t>
      </w:r>
    </w:p>
    <w:p>
      <w:pPr>
        <w:pStyle w:val="Normal"/>
        <w:spacing w:lineRule="auto" w:line="252" w:before="0" w:after="100"/>
        <w:rPr>
          <w:sz w:val="22"/>
          <w:szCs w:val="22"/>
        </w:rPr>
      </w:pPr>
      <w:r>
        <w:rPr>
          <w:rFonts w:eastAsia="Arial"/>
          <w:sz w:val="22"/>
          <w:szCs w:val="22"/>
        </w:rPr>
        <w:t>The benchmark set was kept separate from the model tuning and retrieval tuning processes. The final evaluation was performed on the same test set for all systems. This separation allows the results to be interpreted more reliably.</w:t>
      </w:r>
    </w:p>
    <w:p>
      <w:pPr>
        <w:pStyle w:val="Heading1"/>
        <w:rPr>
          <w:sz w:val="22"/>
          <w:szCs w:val="22"/>
        </w:rPr>
      </w:pPr>
      <w:r>
        <w:rPr>
          <w:rFonts w:eastAsia="Arial" w:ascii="Arial" w:hAnsi="Arial"/>
          <w:sz w:val="22"/>
          <w:szCs w:val="22"/>
        </w:rPr>
        <w:t>Dataset and Data Source</w:t>
      </w:r>
    </w:p>
    <w:p>
      <w:pPr>
        <w:pStyle w:val="Normal"/>
        <w:spacing w:lineRule="auto" w:line="252" w:before="0" w:after="100"/>
        <w:rPr>
          <w:sz w:val="22"/>
          <w:szCs w:val="22"/>
        </w:rPr>
      </w:pPr>
      <w:r>
        <w:rPr>
          <w:rFonts w:eastAsia="Arial"/>
          <w:sz w:val="22"/>
          <w:szCs w:val="22"/>
        </w:rPr>
        <w:t>The main legal data used in the project was muhammetakkurt/mevzuat-gov-dataset. This dataset consists of legal texts extracted from mevzuat.gov.tr, the official legislation portal of the Turkish state. The dataset includes laws, regulations, and amendment texts; each record contains not only text content, but also metadata information belonging to the legal document. The dataset page states that the data was extracted from the mevzuat.gov.tr source and that the legal texts are provided together with detailed article structures. (huggingface.co)</w:t>
      </w:r>
    </w:p>
    <w:p>
      <w:pPr>
        <w:pStyle w:val="Normal"/>
        <w:spacing w:lineRule="auto" w:line="252" w:before="0" w:after="100"/>
        <w:rPr>
          <w:sz w:val="22"/>
          <w:szCs w:val="22"/>
        </w:rPr>
      </w:pPr>
      <w:r>
        <w:rPr>
          <w:rFonts w:eastAsia="Arial"/>
          <w:sz w:val="22"/>
          <w:szCs w:val="22"/>
        </w:rPr>
        <w:t>According to the dataset information on Hugging Face, the data is in JSON format, is presented as a text modality, is shared with the legal tag, and appears under the MIT license. The dataset page shows that the default split consists of 907 rows and that the total file size is approximately 37.3 MB. (huggingface.co)</w:t>
      </w:r>
    </w:p>
    <w:p>
      <w:pPr>
        <w:pStyle w:val="Heading2"/>
        <w:rPr>
          <w:sz w:val="22"/>
          <w:szCs w:val="22"/>
        </w:rPr>
      </w:pPr>
      <w:r>
        <w:rPr>
          <w:rFonts w:eastAsia="Arial" w:ascii="Arial" w:hAnsi="Arial"/>
          <w:sz w:val="22"/>
          <w:szCs w:val="22"/>
        </w:rPr>
        <w:t>Basic Features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Dataset name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muhammetakkurt/mevzuat-gov-dataset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mevzuat.gov.tr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 / legislation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Hugging Face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907 top-level records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File size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Approximately 37.3 MB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License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Content type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Laws, regulations, amendment texts, and article contents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point to note here is that the 907 rows on Hugging Face are not directly the same as the final retrieval corpus row count. In the dataset, each top-level record can represent a law or legal document, and these records contain a nested list called maddeler. In the project, this nested structure was expanded to the article level, unnecessary or problematic records were cleaned, and an article-level corpus that could be used for retrieval was created.</w:t>
      </w:r>
    </w:p>
    <w:p>
      <w:pPr>
        <w:pStyle w:val="Heading2"/>
        <w:rPr>
          <w:sz w:val="22"/>
          <w:szCs w:val="22"/>
        </w:rPr>
      </w:pPr>
      <w:r>
        <w:rPr>
          <w:rFonts w:eastAsia="Arial" w:ascii="Arial" w:hAnsi="Arial"/>
          <w:sz w:val="22"/>
          <w:szCs w:val="22"/>
        </w:rPr>
        <w:t>Dataset Fields</w:t>
      </w:r>
    </w:p>
    <w:p>
      <w:pPr>
        <w:pStyle w:val="Normal"/>
        <w:spacing w:lineRule="auto" w:line="252" w:before="0" w:after="100"/>
        <w:rPr>
          <w:sz w:val="22"/>
          <w:szCs w:val="22"/>
        </w:rPr>
      </w:pPr>
      <w:r>
        <w:rPr>
          <w:rFonts w:eastAsia="Arial"/>
          <w:sz w:val="22"/>
          <w:szCs w:val="22"/>
        </w:rPr>
        <w:t>The main fields in the dataset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Field</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url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link of the related law or legislation record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 Adı</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Turkish name of the legal text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kanun_numarasi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official number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kabul_tarihi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adoption date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resmi_gazete.tarih</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Publication date in the Official Gazette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resmi_gazete.sayi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issue number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dustur.tertip</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series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dustur.cilt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volume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dustur.sayfa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page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List containing the articles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maddeler.madde_numarasi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number of the article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maddeler.text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text content of the article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structure is suitable for a RAG system because each legal document stores not only the text but also the source information and article number. In legal RAG systems, this metadata structure is important because it makes it possible to track which law, which article, and which document the system bases its answer on.</w:t>
      </w:r>
    </w:p>
    <w:p>
      <w:pPr>
        <w:pStyle w:val="Heading2"/>
        <w:rPr>
          <w:sz w:val="22"/>
          <w:szCs w:val="22"/>
        </w:rPr>
      </w:pPr>
      <w:r>
        <w:rPr>
          <w:rFonts w:eastAsia="Arial" w:ascii="Arial" w:hAnsi="Arial"/>
          <w:sz w:val="22"/>
          <w:szCs w:val="22"/>
        </w:rPr>
        <w:t>Use of the Dataset in the Project</w:t>
      </w:r>
    </w:p>
    <w:p>
      <w:pPr>
        <w:pStyle w:val="Normal"/>
        <w:spacing w:lineRule="auto" w:line="252" w:before="0" w:after="100"/>
        <w:rPr>
          <w:sz w:val="22"/>
          <w:szCs w:val="22"/>
        </w:rPr>
      </w:pPr>
      <w:r>
        <w:rPr>
          <w:rFonts w:eastAsia="Arial"/>
          <w:sz w:val="22"/>
          <w:szCs w:val="22"/>
        </w:rPr>
        <w:t>The dataset was not used directly in its raw form. First, the structure of the data was examined, and then cleaning and normalization operations were performed to make it suitable for the retrieval system. Since the raw data contains a nested structure at the document level, the records had to be converted into article-level form so that the RAG system could find the correct article.</w:t>
      </w:r>
    </w:p>
    <w:p>
      <w:pPr>
        <w:pStyle w:val="Normal"/>
        <w:spacing w:lineRule="auto" w:line="252" w:before="0" w:after="100"/>
        <w:rPr>
          <w:sz w:val="22"/>
          <w:szCs w:val="22"/>
        </w:rPr>
      </w:pPr>
      <w:r>
        <w:rPr>
          <w:rFonts w:eastAsia="Arial"/>
          <w:sz w:val="22"/>
          <w:szCs w:val="22"/>
        </w:rPr>
        <w:t>The data preparation flow applied in the project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dataset examination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metadata fields, and maddeler list were examined.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Document-article separation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articles within each law were converted into separate retrieval records.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Metadata preservation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law number, adoption date, Official Gazette information, and URL were preserved.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and law separation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legal articles and auxiliary QA records were separated.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cleaning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records or records carrying the same content were detected.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Removal of invalid records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corrupted, or retrieval-unsuitable records were cleaned.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corpus creation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Each record was structured at the article level that the retrieval system could search.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JSONL/CSV outputs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corpus was saved in both .csv and .jsonl formats.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As a result of this process, the main corpus used by the system was created through the following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Cleaned and normalized main legal corpus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retrieval/indexing</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Dataset Normalization Results</w:t>
      </w:r>
    </w:p>
    <w:p>
      <w:pPr>
        <w:pStyle w:val="Normal"/>
        <w:spacing w:lineRule="auto" w:line="252" w:before="0" w:after="100"/>
        <w:rPr>
          <w:sz w:val="22"/>
          <w:szCs w:val="22"/>
        </w:rPr>
      </w:pPr>
      <w:r>
        <w:rPr>
          <w:rFonts w:eastAsia="Arial"/>
          <w:sz w:val="22"/>
          <w:szCs w:val="22"/>
        </w:rPr>
        <w:t>The corpus statistics obtained after the dataset and additional data preparation process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raw data had to be cleaned before being used directly. In particular, separating official legal articles from QA-format records, cleaning duplicate records, and removing invalid rows were critical for the quality of the final corpus.</w:t>
      </w:r>
    </w:p>
    <w:p>
      <w:pPr>
        <w:pStyle w:val="Normal"/>
        <w:spacing w:lineRule="auto" w:line="252" w:before="0" w:after="100"/>
        <w:rPr>
          <w:sz w:val="22"/>
          <w:szCs w:val="22"/>
        </w:rPr>
      </w:pPr>
      <w:r>
        <w:rPr>
          <w:rFonts w:eastAsia="Arial"/>
          <w:sz w:val="22"/>
          <w:szCs w:val="22"/>
        </w:rPr>
        <w:t>In the final retrieval system, valid law rows were used as the main backbone. QA records were evaluated as auxiliary data, not as a replacement for the main official legal corpus. Thus, the system was aimed to base its answers as much as possible on official legal articles.</w:t>
      </w:r>
    </w:p>
    <w:p>
      <w:pPr>
        <w:pStyle w:val="Heading2"/>
        <w:rPr>
          <w:rFonts w:ascii="Arial" w:hAnsi="Arial" w:eastAsia="Arial"/>
          <w:sz w:val="22"/>
          <w:szCs w:val="22"/>
        </w:rPr>
      </w:pPr>
      <w:r>
        <w:rPr>
          <w:rFonts w:eastAsia="Arial" w:ascii="Arial" w:hAnsi="Arial"/>
          <w:sz w:val="22"/>
          <w:szCs w:val="22"/>
        </w:rPr>
      </w:r>
    </w:p>
    <w:p>
      <w:pPr>
        <w:pStyle w:val="Heading2"/>
        <w:rPr>
          <w:rFonts w:ascii="Arial" w:hAnsi="Arial" w:eastAsia="Arial"/>
          <w:sz w:val="22"/>
          <w:szCs w:val="22"/>
        </w:rPr>
      </w:pPr>
      <w:r>
        <w:rPr>
          <w:rFonts w:eastAsia="Arial" w:ascii="Arial" w:hAnsi="Arial"/>
          <w:sz w:val="22"/>
          <w:szCs w:val="22"/>
        </w:rPr>
        <w:t>Strengths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Strength</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Based on an official 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Since the data was extracted from the official legislation portal, it has strong legal source 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metadata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number, adoption date, Official Gazette information, and URL can be used for citation.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article structure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 article-level retrieval system can be built through the maddeler list.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Suitable for the Turkish legal 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It is not a general-purpose QA dataset, but consists directly of Turkish legislation texts.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Convertible into a RAG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can be cleaned and converted into JSONL/CSV corpus format.</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Limitations of the Dataset</w:t>
      </w:r>
    </w:p>
    <w:p>
      <w:pPr>
        <w:pStyle w:val="Normal"/>
        <w:spacing w:lineRule="auto" w:line="252" w:before="0" w:after="100"/>
        <w:rPr>
          <w:sz w:val="22"/>
          <w:szCs w:val="22"/>
        </w:rPr>
      </w:pPr>
      <w:r>
        <w:rPr>
          <w:rFonts w:eastAsia="Arial"/>
          <w:sz w:val="22"/>
          <w:szCs w:val="22"/>
        </w:rPr>
        <w:t>Although the dataset is a strong source, it has some limitations in its raw form. The dataset page states that some fields may be missing or irregular, that date formats may vary, and that different character or punctuation issues may be observed, especially in older laws. It is also stated that articles may contain additional data and may need better parsing. (huggingface.co)</w:t>
      </w:r>
    </w:p>
    <w:p>
      <w:pPr>
        <w:pStyle w:val="Normal"/>
        <w:spacing w:lineRule="auto" w:line="252" w:before="0" w:after="100"/>
        <w:rPr>
          <w:sz w:val="22"/>
          <w:szCs w:val="22"/>
        </w:rPr>
      </w:pPr>
      <w:r>
        <w:rPr>
          <w:rFonts w:eastAsia="Arial"/>
          <w:sz w:val="22"/>
          <w:szCs w:val="22"/>
        </w:rPr>
        <w:t>The main limitations encountered in the project can be summarized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Limitation</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Effect in the project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Nested article structure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records had to be converted into article-level form for retrieval.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metadata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citation fields had to be normalized.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Different date formats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 standardization was performed for fields such as adoption date and Official Gazette date.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Character issues in older texts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Text cleaning and normalization steps were applied.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Amendment laws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articles did not contain direct legal provisions but amendment text incorporated into another law, so filtering was required.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records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contents were cleaned because they could reduce retrieval quality.</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Because of these limitations, the dataset was not used directly as the final RAG corpus in its raw form; it first went through normalization and quality control processes.</w:t>
      </w:r>
    </w:p>
    <w:p>
      <w:pPr>
        <w:pStyle w:val="Heading1"/>
        <w:rPr>
          <w:sz w:val="22"/>
          <w:szCs w:val="22"/>
        </w:rPr>
      </w:pPr>
      <w:r>
        <w:rPr>
          <w:rFonts w:eastAsia="Arial" w:ascii="Arial" w:hAnsi="Arial"/>
          <w:sz w:val="22"/>
          <w:szCs w:val="22"/>
        </w:rPr>
        <w:t>Data Leakage and Benchmark Separation</w:t>
      </w:r>
    </w:p>
    <w:p>
      <w:pPr>
        <w:pStyle w:val="Normal"/>
        <w:spacing w:lineRule="auto" w:line="252" w:before="0" w:after="100"/>
        <w:rPr>
          <w:sz w:val="22"/>
          <w:szCs w:val="22"/>
        </w:rPr>
      </w:pPr>
      <w:r>
        <w:rPr>
          <w:rFonts w:eastAsia="Arial"/>
          <w:sz w:val="22"/>
          <w:szCs w:val="22"/>
        </w:rPr>
        <w:t>The 190-question benchmark used in the project was kept separate from the tuning and development processes. The data used in retrieval tuning, embedding tuning, reranker tuning, and LLM fine-tuning stages was separated from the final benchmark evaluation.</w:t>
      </w:r>
    </w:p>
    <w:p>
      <w:pPr>
        <w:pStyle w:val="Normal"/>
        <w:spacing w:lineRule="auto" w:line="252" w:before="0" w:after="100"/>
        <w:rPr>
          <w:sz w:val="22"/>
          <w:szCs w:val="22"/>
        </w:rPr>
      </w:pPr>
      <w:r>
        <w:rPr>
          <w:rFonts w:eastAsia="Arial"/>
          <w:sz w:val="22"/>
          <w:szCs w:val="22"/>
        </w:rPr>
        <w:t>This separation is important because using the same questions in both tuning and test stages may cause system performance to appear higher than it actually is. Therefore, in the final evaluation, all systems were compared on the same 190-question test benchmark. This allowed a more reliable performance comparison between the baseline, tuned, and fully optimized systems.</w:t>
      </w:r>
    </w:p>
    <w:p>
      <w:pPr>
        <w:pStyle w:val="Heading1"/>
        <w:rPr>
          <w:sz w:val="22"/>
          <w:szCs w:val="22"/>
        </w:rPr>
      </w:pPr>
      <w:r>
        <w:rPr>
          <w:rFonts w:eastAsia="Arial" w:ascii="Arial" w:hAnsi="Arial"/>
          <w:sz w:val="22"/>
          <w:szCs w:val="22"/>
        </w:rPr>
        <w:t>1. Project Objective</w:t>
      </w:r>
    </w:p>
    <w:p>
      <w:pPr>
        <w:pStyle w:val="Normal"/>
        <w:spacing w:lineRule="auto" w:line="252" w:before="0" w:after="100"/>
        <w:rPr>
          <w:sz w:val="22"/>
          <w:szCs w:val="22"/>
        </w:rPr>
      </w:pPr>
      <w:r>
        <w:rPr>
          <w:rFonts w:eastAsia="Arial"/>
          <w:sz w:val="22"/>
          <w:szCs w:val="22"/>
        </w:rPr>
        <w:t>The objective of this project is to gradually improve a Retrieval-Augmented Generation system operating in the Turkish legal domain and measure both retrieval and answer generation quality. The system was designed not only as a structure that produces answers, but also as a legal RAG architecture that can find the correct legal source, rely on the relevant article, generate citations, and measure hallucination risk.</w:t>
      </w:r>
    </w:p>
    <w:p>
      <w:pPr>
        <w:pStyle w:val="Normal"/>
        <w:spacing w:lineRule="auto" w:line="252" w:before="0" w:after="100"/>
        <w:rPr>
          <w:sz w:val="22"/>
          <w:szCs w:val="22"/>
        </w:rPr>
      </w:pPr>
      <w:r>
        <w:rPr>
          <w:rFonts w:eastAsia="Arial"/>
          <w:sz w:val="22"/>
          <w:szCs w:val="22"/>
        </w:rPr>
        <w:t>Therefore, throughout the project, different corpus structures, embedding models, retrieval methods, reranker approaches, and LLM fine-tuning experiments were compared on the same benchmark. Thus, which component truly contributed to the system, which stage did not produce the expected improvement, and which system was more reliable in the end were evaluated quantitatively.</w:t>
      </w:r>
    </w:p>
    <w:p>
      <w:pPr>
        <w:pStyle w:val="Heading1"/>
        <w:rPr>
          <w:sz w:val="22"/>
          <w:szCs w:val="22"/>
        </w:rPr>
      </w:pPr>
      <w:r>
        <w:rPr>
          <w:rFonts w:eastAsia="Arial" w:ascii="Arial" w:hAnsi="Arial"/>
          <w:sz w:val="22"/>
          <w:szCs w:val="22"/>
        </w:rPr>
        <w:t>2. Benchmark and Data Structure</w:t>
      </w:r>
    </w:p>
    <w:p>
      <w:pPr>
        <w:pStyle w:val="Normal"/>
        <w:spacing w:lineRule="auto" w:line="252" w:before="0" w:after="100"/>
        <w:rPr>
          <w:sz w:val="22"/>
          <w:szCs w:val="22"/>
        </w:rPr>
      </w:pPr>
      <w:r>
        <w:rPr>
          <w:rFonts w:eastAsia="Arial"/>
          <w:sz w:val="22"/>
          <w:szCs w:val="22"/>
        </w:rPr>
        <w:t>A 190-question gold benchmark was used in the project. This benchmark consists of Turkish legal questions, and for each question, a verified answer, the relevant legal document, and article mapping were stored.</w:t>
      </w:r>
    </w:p>
    <w:p>
      <w:pPr>
        <w:pStyle w:val="Normal"/>
        <w:spacing w:lineRule="auto" w:line="252" w:before="0" w:after="100"/>
        <w:rPr>
          <w:sz w:val="22"/>
          <w:szCs w:val="22"/>
        </w:rPr>
      </w:pPr>
      <w:r>
        <w:rPr>
          <w:rFonts w:eastAsia="Arial"/>
          <w:sz w:val="22"/>
          <w:szCs w:val="22"/>
        </w:rPr>
        <w:t>Thanks to this structure, the system could be evaluated not only in terms of answer quality, but also in terms of its success in finding the correct document and the correct article. In the legal domain, answer generation alone is not sufficient; the legal source on which the answer is based must also be correct. Therefore, the benchmark made it possible to measure the retrieval and generation stages jointly.</w:t>
      </w:r>
    </w:p>
    <w:p>
      <w:pPr>
        <w:pStyle w:val="Normal"/>
        <w:spacing w:lineRule="auto" w:line="252" w:before="0" w:after="100"/>
        <w:rPr>
          <w:sz w:val="22"/>
          <w:szCs w:val="22"/>
        </w:rPr>
      </w:pPr>
      <w:r>
        <w:rPr>
          <w:rFonts w:eastAsia="Arial"/>
          <w:sz w:val="22"/>
          <w:szCs w:val="22"/>
        </w:rPr>
        <w:t>The benchmark structure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answer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article/document mapping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Purpose of use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 generation, citation, and grounding evaluation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Comparison method</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All systems were measured on the same benchmark</w:t>
            </w:r>
          </w:p>
        </w:tc>
      </w:tr>
    </w:tbl>
    <w:p>
      <w:pPr>
        <w:pStyle w:val="Normal"/>
        <w:rPr>
          <w:sz w:val="22"/>
          <w:szCs w:val="22"/>
        </w:rPr>
      </w:pPr>
      <w:r>
        <w:rPr>
          <w:sz w:val="22"/>
          <w:szCs w:val="22"/>
        </w:rPr>
      </w:r>
    </w:p>
    <w:p>
      <w:pPr>
        <w:pStyle w:val="Heading1"/>
        <w:rPr>
          <w:sz w:val="22"/>
          <w:szCs w:val="22"/>
        </w:rPr>
      </w:pPr>
      <w:r>
        <w:rPr>
          <w:rFonts w:eastAsia="Arial" w:ascii="Arial" w:hAnsi="Arial"/>
          <w:sz w:val="22"/>
          <w:szCs w:val="22"/>
        </w:rPr>
        <w:t>3. Corpus Normalization</w:t>
      </w:r>
    </w:p>
    <w:p>
      <w:pPr>
        <w:pStyle w:val="Normal"/>
        <w:spacing w:lineRule="auto" w:line="252" w:before="0" w:after="100"/>
        <w:rPr>
          <w:sz w:val="22"/>
          <w:szCs w:val="22"/>
        </w:rPr>
      </w:pPr>
      <w:r>
        <w:rPr>
          <w:rFonts w:eastAsia="Arial"/>
          <w:sz w:val="22"/>
          <w:szCs w:val="22"/>
        </w:rPr>
        <w:t>The first important stage of the project is corpus normalization. In the initial data, official legislation articles, QA records, repeated rows, and different quality issues existed together. Therefore, the data was first cleaned, official legal articles were separated from QA records, and the main retrieval corpus was reconstructed at the article level.</w:t>
      </w:r>
    </w:p>
    <w:p>
      <w:pPr>
        <w:pStyle w:val="Normal"/>
        <w:spacing w:lineRule="auto" w:line="252" w:before="0" w:after="100"/>
        <w:rPr>
          <w:sz w:val="22"/>
          <w:szCs w:val="22"/>
        </w:rPr>
      </w:pPr>
      <w:r>
        <w:rPr>
          <w:rFonts w:eastAsia="Arial"/>
          <w:sz w:val="22"/>
          <w:szCs w:val="22"/>
        </w:rPr>
        <w:t>The basic numbers obtained as a result of corpus normalization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Final main corpus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Main official legal corpus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RAG indexing</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stage created an important turning point in system performance. Moving from the old Kaggle-only structure to a normalized corpus at the level of official legal articles provided a significant improvement, especially on the article-level retrieval side. Therefore, corpus normalization was evaluated not only as a technical preprocessing step, but also as a fundamental stage that directly affects system quality.</w:t>
      </w:r>
    </w:p>
    <w:p>
      <w:pPr>
        <w:pStyle w:val="Heading1"/>
        <w:rPr>
          <w:sz w:val="22"/>
          <w:szCs w:val="22"/>
        </w:rPr>
      </w:pPr>
      <w:r>
        <w:rPr>
          <w:rFonts w:eastAsia="Arial" w:ascii="Arial" w:hAnsi="Arial"/>
          <w:sz w:val="22"/>
          <w:szCs w:val="22"/>
        </w:rPr>
        <w:t>4. First Baseline: Kaggle-only System</w:t>
      </w:r>
    </w:p>
    <w:p>
      <w:pPr>
        <w:pStyle w:val="Normal"/>
        <w:spacing w:lineRule="auto" w:line="252" w:before="0" w:after="100"/>
        <w:rPr>
          <w:sz w:val="22"/>
          <w:szCs w:val="22"/>
        </w:rPr>
      </w:pPr>
      <w:r>
        <w:rPr>
          <w:rFonts w:eastAsia="Arial"/>
          <w:sz w:val="22"/>
          <w:szCs w:val="22"/>
        </w:rPr>
        <w:t>The starting point of the project is the Kaggle-only corpus and the old retrieval/generation setup. This system was used as the initial level in order to see how meaningful the later improvements were.</w:t>
      </w:r>
    </w:p>
    <w:p>
      <w:pPr>
        <w:pStyle w:val="Heading2"/>
        <w:rPr>
          <w:sz w:val="22"/>
          <w:szCs w:val="22"/>
        </w:rPr>
      </w:pPr>
      <w:r>
        <w:rPr>
          <w:rFonts w:eastAsia="Arial" w:ascii="Arial" w:hAnsi="Arial"/>
          <w:sz w:val="22"/>
          <w:szCs w:val="22"/>
        </w:rPr>
        <w:t>Kaggle-only Generation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0.2311</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bleu</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0.0649</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0.1829</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Kaggle-only Retrieval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0.7105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source_hit@3</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0.7632</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0.7947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0.0263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article_hit@3</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joint_source_article_hit@5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0.0474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0.7393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0.7449</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mrr_source_article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0.0351</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ndcg_source_article_5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0.0382</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old baseline system appeared partially acceptable at the document/source level, but remained quite weak in finding the correct legal article. In particular, the article_hit@5 value of 0.0526 shows that the system had serious difficulty reaching the correct article.</w:t>
      </w:r>
    </w:p>
    <w:p>
      <w:pPr>
        <w:pStyle w:val="Normal"/>
        <w:spacing w:lineRule="auto" w:line="252" w:before="0" w:after="100"/>
        <w:rPr>
          <w:sz w:val="22"/>
          <w:szCs w:val="22"/>
        </w:rPr>
      </w:pPr>
      <w:r>
        <w:rPr>
          <w:rFonts w:eastAsia="Arial"/>
          <w:sz w:val="22"/>
          <w:szCs w:val="22"/>
        </w:rPr>
        <w:t>This difference is very important in the legal domain. Because an answer that is not based on the correct article cannot be considered reliable, even if it appears correct on the surface. Therefore, in the later stages, the system’s article-level retrieval and citation-grounding performance were especially improved.</w:t>
      </w:r>
    </w:p>
    <w:p>
      <w:pPr>
        <w:pStyle w:val="Heading1"/>
        <w:rPr>
          <w:sz w:val="22"/>
          <w:szCs w:val="22"/>
        </w:rPr>
      </w:pPr>
      <w:r>
        <w:rPr>
          <w:rFonts w:eastAsia="Arial" w:ascii="Arial" w:hAnsi="Arial"/>
          <w:sz w:val="22"/>
          <w:szCs w:val="22"/>
        </w:rPr>
        <w:t>5. Retrieval Ablation Process</w:t>
      </w:r>
    </w:p>
    <w:p>
      <w:pPr>
        <w:pStyle w:val="Normal"/>
        <w:spacing w:lineRule="auto" w:line="252" w:before="0" w:after="100"/>
        <w:rPr>
          <w:sz w:val="22"/>
          <w:szCs w:val="22"/>
        </w:rPr>
      </w:pPr>
      <w:r>
        <w:rPr>
          <w:rFonts w:eastAsia="Arial"/>
          <w:sz w:val="22"/>
          <w:szCs w:val="22"/>
        </w:rPr>
        <w:t>On the retrieval side, the system was compared step by step. First, dense retrieval was tested on the normalized official legal corpus, and then BM25, hybrid retrieval, different reranker approaches, stronger embedding models, and tuning experiments were evaluated.</w:t>
      </w:r>
    </w:p>
    <w:p>
      <w:pPr>
        <w:pStyle w:val="Normal"/>
        <w:spacing w:lineRule="auto" w:line="252" w:before="0" w:after="100"/>
        <w:rPr>
          <w:sz w:val="22"/>
          <w:szCs w:val="22"/>
        </w:rPr>
      </w:pPr>
      <w:r>
        <w:rPr>
          <w:rFonts w:eastAsia="Arial"/>
          <w:sz w:val="22"/>
          <w:szCs w:val="22"/>
        </w:rPr>
        <w:t>The general flow of the retrieval experiments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dense baseline on the official-law corpus</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observe sparse retrieval performance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contribution of combining dense + BM25</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first reranker effect</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law-oriented optimizations</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6</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switch to a stronger embedding model</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strongest retrieval stack candidate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8</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domain adaptation and contrastive fine-tuning</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a fine-tuned reranker</w:t>
            </w:r>
          </w:p>
        </w:tc>
      </w:tr>
    </w:tbl>
    <w:p>
      <w:pPr>
        <w:pStyle w:val="Normal"/>
        <w:rPr>
          <w:sz w:val="22"/>
          <w:szCs w:val="22"/>
        </w:rPr>
      </w:pPr>
      <w:r>
        <w:rPr>
          <w:sz w:val="22"/>
          <w:szCs w:val="22"/>
        </w:rPr>
      </w:r>
    </w:p>
    <w:p>
      <w:pPr>
        <w:pStyle w:val="Heading1"/>
        <w:rPr>
          <w:rFonts w:ascii="Arial" w:hAnsi="Arial" w:eastAsia="Arial"/>
          <w:sz w:val="22"/>
          <w:szCs w:val="22"/>
        </w:rPr>
      </w:pPr>
      <w:r>
        <w:rPr>
          <w:rFonts w:eastAsia="Arial" w:ascii="Arial" w:hAnsi="Arial"/>
          <w:sz w:val="22"/>
          <w:szCs w:val="22"/>
        </w:rPr>
      </w:r>
    </w:p>
    <w:p>
      <w:pPr>
        <w:pStyle w:val="Heading1"/>
        <w:rPr>
          <w:rFonts w:ascii="Arial" w:hAnsi="Arial" w:eastAsia="Arial"/>
          <w:sz w:val="22"/>
          <w:szCs w:val="22"/>
        </w:rPr>
      </w:pPr>
      <w:r>
        <w:rPr>
          <w:rFonts w:eastAsia="Arial" w:ascii="Arial" w:hAnsi="Arial"/>
          <w:sz w:val="22"/>
          <w:szCs w:val="22"/>
        </w:rPr>
        <w:t>6. Retrieval Ablation Results</w:t>
      </w:r>
    </w:p>
    <w:p>
      <w:pPr>
        <w:pStyle w:val="Normal"/>
        <w:spacing w:lineRule="auto" w:line="252" w:before="0" w:after="100"/>
        <w:rPr>
          <w:sz w:val="22"/>
          <w:szCs w:val="22"/>
        </w:rPr>
      </w:pPr>
      <w:r>
        <w:rPr>
          <w:rFonts w:eastAsia="Arial"/>
          <w:sz w:val="22"/>
          <w:szCs w:val="22"/>
        </w:rPr>
        <w:t>The main retrieval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0.432</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0.295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0.319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0.352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0.589</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0.449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0.472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0.511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 MiniLM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0.626</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0.483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BGE-M3 dense baseline produced a strong first retrieval result on the normalized official legal corpus. Although BM25 showed reasonable performance on the document-level side, it remained behind dense systems in article-level retrieval. This result shows that the Turkish legal article retrieval problem cannot be solved only through keyword matching.</w:t>
      </w:r>
    </w:p>
    <w:p>
      <w:pPr>
        <w:pStyle w:val="Normal"/>
        <w:spacing w:lineRule="auto" w:line="252" w:before="0" w:after="100"/>
        <w:rPr>
          <w:sz w:val="22"/>
          <w:szCs w:val="22"/>
        </w:rPr>
      </w:pPr>
      <w:r>
        <w:rPr>
          <w:rFonts w:eastAsia="Arial"/>
          <w:sz w:val="22"/>
          <w:szCs w:val="22"/>
        </w:rPr>
        <w:t>Hybrid retrieval produced better article-level results than BM25; however, it could not surpass the BGE-M3 dense baseline in terms of article_hit@5. Therefore, hybrid retrieval was tested but did not become the strongest option for the final system.</w:t>
      </w:r>
    </w:p>
    <w:p>
      <w:pPr>
        <w:pStyle w:val="Normal"/>
        <w:spacing w:lineRule="auto" w:line="252" w:before="0" w:after="100"/>
        <w:rPr>
          <w:sz w:val="22"/>
          <w:szCs w:val="22"/>
        </w:rPr>
      </w:pPr>
      <w:r>
        <w:rPr>
          <w:rFonts w:eastAsia="Arial"/>
          <w:sz w:val="22"/>
          <w:szCs w:val="22"/>
        </w:rPr>
        <w:t>The MiniLM reranker experiment also provided limited contribution. This stage showed that the reranking approach may not provide sufficient performance improvement when it is not used with the right model.</w:t>
      </w:r>
    </w:p>
    <w:p>
      <w:pPr>
        <w:pStyle w:val="Normal"/>
        <w:spacing w:lineRule="auto" w:line="252" w:before="0" w:after="100"/>
        <w:rPr>
          <w:sz w:val="22"/>
          <w:szCs w:val="22"/>
        </w:rPr>
      </w:pPr>
      <w:r>
        <w:rPr>
          <w:rFonts w:eastAsia="Arial"/>
          <w:sz w:val="22"/>
          <w:szCs w:val="22"/>
        </w:rPr>
        <w:t>The main improvement was obtained when switching to the Qwen3-Embedding-8B model. The Qwen3 embedding model produced stronger results than BGE-M3 in both document-level and article-level metrics. Later, when Qwen3-Reranker-8B was added, article_hit@5 increased to 0.837, article_mrr to 0.701, and article_ndcg@5 to 0.731. Therefore, Qwen3-Embedding-8B dense top-30 + Qwen3-Reranker-8B top-10 was selected as the final retrieval stack.</w:t>
      </w:r>
    </w:p>
    <w:p>
      <w:pPr>
        <w:pStyle w:val="Heading1"/>
        <w:rPr>
          <w:sz w:val="22"/>
          <w:szCs w:val="22"/>
        </w:rPr>
      </w:pPr>
      <w:r>
        <w:rPr>
          <w:rFonts w:eastAsia="Arial" w:ascii="Arial" w:hAnsi="Arial"/>
          <w:sz w:val="22"/>
          <w:szCs w:val="22"/>
        </w:rPr>
        <w:t>7. Embedding Tuning and Reranker Tuning Results</w:t>
      </w:r>
    </w:p>
    <w:p>
      <w:pPr>
        <w:pStyle w:val="Normal"/>
        <w:spacing w:lineRule="auto" w:line="252" w:before="0" w:after="100"/>
        <w:rPr>
          <w:sz w:val="22"/>
        </w:rPr>
      </w:pPr>
      <w:r>
        <w:rPr>
          <w:sz w:val="22"/>
        </w:rPr>
      </w:r>
    </w:p>
    <w:p>
      <w:pPr>
        <w:pStyle w:val="Normal"/>
        <w:spacing w:lineRule="auto" w:line="252" w:before="0" w:after="100"/>
        <w:rPr>
          <w:sz w:val="22"/>
        </w:rPr>
      </w:pPr>
      <w:r>
        <w:rPr>
          <w:sz w:val="22"/>
        </w:rPr>
        <w:t>Embedding tuning and reranker tuning experiments were also performed in the project. In these stages, domain adaptation, contrastive fine-tuning, hard negative usage, and reranker fine-tuning were applied.</w:t>
      </w:r>
    </w:p>
    <w:p>
      <w:pPr>
        <w:pStyle w:val="Normal"/>
        <w:spacing w:lineRule="auto" w:line="252" w:before="0" w:after="100"/>
        <w:rPr>
          <w:sz w:val="22"/>
        </w:rPr>
      </w:pPr>
      <w:r>
        <w:rPr>
          <w:sz w:val="22"/>
        </w:rPr>
        <w:t>The tuning retrieval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0.619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0.639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embedding + tuned Qwen3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0.607</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embedding + tuned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0.705</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0.596</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Zero-shot Qwen3 embedding + zero-shot Qwen3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Although embedding tuning was technically performed, the Qwen3-Embedding-8B LoRA tuned dense system could not surpass the zero-shot Qwen3 embedding system. Similarly, the tuned reranker did not produce a better result than the zero-shot Qwen3 reranker.</w:t>
      </w:r>
    </w:p>
    <w:p>
      <w:pPr>
        <w:pStyle w:val="Normal"/>
        <w:spacing w:lineRule="auto" w:line="252" w:before="0" w:after="100"/>
        <w:rPr>
          <w:sz w:val="22"/>
          <w:szCs w:val="22"/>
        </w:rPr>
      </w:pPr>
      <w:r>
        <w:rPr>
          <w:rFonts w:eastAsia="Arial"/>
          <w:sz w:val="22"/>
          <w:szCs w:val="22"/>
        </w:rPr>
        <w:t>This is an important finding. Fine-tuning does not automatically mean that the system will become better. In this project, the final system was determined not as the most fine-tuned system, but as the best measured system on the same benchmark.</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7.1 Fine-Tuning Data Sources</w:t>
      </w:r>
    </w:p>
    <w:p>
      <w:pPr>
        <w:pStyle w:val="Normal"/>
        <w:spacing w:lineRule="auto" w:line="252" w:before="0" w:after="100"/>
        <w:rPr/>
      </w:pPr>
      <w:r>
        <w:rPr>
          <w:sz w:val="22"/>
        </w:rPr>
        <w:t xml:space="preserve">The fine-tuning experiments in this project used the external training files provided under the </w:t>
      </w:r>
      <w:r>
        <w:rPr>
          <w:rStyle w:val="KaynakMetinuser"/>
          <w:sz w:val="22"/>
        </w:rPr>
        <w:t>data/external</w:t>
      </w:r>
      <w:r>
        <w:rPr>
          <w:sz w:val="22"/>
        </w:rPr>
        <w:t xml:space="preserve"> directory. These files were not used as the final official retrieval corpus. Instead, they were used only for adaptation experiments in order to test whether embedding tuning, reranker tuning, and LLM fine-tuning could improve the RAG system.</w:t>
      </w:r>
    </w:p>
    <w:p>
      <w:pPr>
        <w:pStyle w:val="Normal"/>
        <w:spacing w:lineRule="auto" w:line="252" w:before="0" w:after="100"/>
        <w:rPr/>
      </w:pPr>
      <w:r>
        <w:rPr>
          <w:sz w:val="22"/>
        </w:rPr>
        <w:t xml:space="preserve">The first fine-tuning setup used the original external files directly. The main files were </w:t>
      </w:r>
      <w:r>
        <w:rPr>
          <w:rStyle w:val="KaynakMetinuser"/>
          <w:sz w:val="22"/>
        </w:rPr>
        <w:t>data/external/embedding.jsonl</w:t>
      </w:r>
      <w:r>
        <w:rPr>
          <w:sz w:val="22"/>
        </w:rPr>
        <w:t xml:space="preserve"> for embedding adaptation, </w:t>
      </w:r>
      <w:r>
        <w:rPr>
          <w:rStyle w:val="KaynakMetinuser"/>
          <w:sz w:val="22"/>
        </w:rPr>
        <w:t>data/external/reranker.jsonl</w:t>
      </w:r>
      <w:r>
        <w:rPr>
          <w:sz w:val="22"/>
        </w:rPr>
        <w:t xml:space="preserve"> for reranker adaptation, and </w:t>
      </w:r>
      <w:r>
        <w:rPr>
          <w:rStyle w:val="KaynakMetinuser"/>
          <w:sz w:val="22"/>
        </w:rPr>
        <w:t>data/external/llm.jsonl</w:t>
      </w:r>
      <w:r>
        <w:rPr>
          <w:sz w:val="22"/>
        </w:rPr>
        <w:t xml:space="preserve"> for LLM instruction tuning. In addition, </w:t>
      </w:r>
      <w:r>
        <w:rPr>
          <w:rStyle w:val="KaynakMetinuser"/>
          <w:sz w:val="22"/>
        </w:rPr>
        <w:t>data/external/gold_benchmark.json</w:t>
      </w:r>
      <w:r>
        <w:rPr>
          <w:sz w:val="22"/>
        </w:rPr>
        <w:t xml:space="preserve"> was inspected as an external benchmark-style resource.</w:t>
      </w:r>
    </w:p>
    <w:p>
      <w:pPr>
        <w:pStyle w:val="Normal"/>
        <w:spacing w:lineRule="auto" w:line="252" w:before="0" w:after="100"/>
        <w:rPr>
          <w:sz w:val="22"/>
        </w:rPr>
      </w:pPr>
      <w:r>
        <w:rPr>
          <w:sz w:val="22"/>
        </w:rPr>
        <w:t>These experiments showed that fine-tuning could improve some generation-side metrics, especially Token F1 and ROUGE-L. However, retrieval-side tuning did not outperform the zero-shot Qwen3 retrieval stack.</w:t>
      </w:r>
    </w:p>
    <w:p>
      <w:pPr>
        <w:pStyle w:val="Normal"/>
        <w:spacing w:lineRule="auto" w:line="252" w:before="0" w:after="100"/>
        <w:rPr/>
      </w:pPr>
      <w:r>
        <w:rPr>
          <w:sz w:val="22"/>
        </w:rPr>
        <w:t xml:space="preserve">A second, stricter tuning setup was later prepared. In this setup, external examples were mapped to the official-law article schema only when their law and article identifiers could be matched to the normalized official corpus. This produced a cleaner and more methodologically defensible tuning set, because the final locked benchmark was not used for training and the examples were aligned with the official </w:t>
      </w:r>
      <w:r>
        <w:rPr>
          <w:rStyle w:val="KaynakMetinuser"/>
          <w:sz w:val="22"/>
        </w:rPr>
        <w:t>article_key</w:t>
      </w:r>
      <w:r>
        <w:rPr>
          <w:sz w:val="22"/>
        </w:rPr>
        <w:t xml:space="preserve"> and citation structure.</w:t>
      </w:r>
    </w:p>
    <w:tbl>
      <w:tblPr>
        <w:tblW w:w="10505" w:type="dxa"/>
        <w:jc w:val="start"/>
        <w:tblInd w:w="28" w:type="dxa"/>
        <w:tblLayout w:type="fixed"/>
        <w:tblCellMar>
          <w:top w:w="28" w:type="dxa"/>
          <w:start w:w="28" w:type="dxa"/>
          <w:bottom w:w="28" w:type="dxa"/>
          <w:end w:w="28" w:type="dxa"/>
        </w:tblCellMar>
      </w:tblPr>
      <w:tblGrid>
        <w:gridCol w:w="2610"/>
        <w:gridCol w:w="4205"/>
        <w:gridCol w:w="3690"/>
      </w:tblGrid>
      <w:tr>
        <w:trPr>
          <w:tblHeader w:val="true"/>
        </w:trPr>
        <w:tc>
          <w:tcPr>
            <w:tcW w:w="2610" w:type="dxa"/>
            <w:tcBorders/>
            <w:vAlign w:val="center"/>
          </w:tcPr>
          <w:p>
            <w:pPr>
              <w:pStyle w:val="Normal"/>
              <w:spacing w:lineRule="auto" w:line="252" w:before="0" w:after="100"/>
              <w:rPr>
                <w:b/>
                <w:bCs/>
                <w:sz w:val="22"/>
              </w:rPr>
            </w:pPr>
            <w:r>
              <w:rPr>
                <w:b/>
                <w:bCs/>
                <w:sz w:val="22"/>
              </w:rPr>
              <w:t>Fine-tuning stage</w:t>
            </w:r>
          </w:p>
        </w:tc>
        <w:tc>
          <w:tcPr>
            <w:tcW w:w="4205" w:type="dxa"/>
            <w:tcBorders/>
            <w:vAlign w:val="center"/>
          </w:tcPr>
          <w:p>
            <w:pPr>
              <w:pStyle w:val="Normal"/>
              <w:spacing w:lineRule="auto" w:line="252" w:before="0" w:after="100"/>
              <w:rPr>
                <w:b/>
                <w:bCs/>
                <w:sz w:val="22"/>
              </w:rPr>
            </w:pPr>
            <w:r>
              <w:rPr>
                <w:b/>
                <w:bCs/>
                <w:sz w:val="22"/>
              </w:rPr>
              <w:t>Original external file</w:t>
            </w:r>
          </w:p>
        </w:tc>
        <w:tc>
          <w:tcPr>
            <w:tcW w:w="3690" w:type="dxa"/>
            <w:tcBorders/>
            <w:vAlign w:val="center"/>
          </w:tcPr>
          <w:p>
            <w:pPr>
              <w:pStyle w:val="Normal"/>
              <w:spacing w:lineRule="auto" w:line="252" w:before="0" w:after="100"/>
              <w:rPr>
                <w:b/>
                <w:bCs/>
                <w:sz w:val="22"/>
              </w:rPr>
            </w:pPr>
            <w:r>
              <w:rPr>
                <w:b/>
                <w:bCs/>
                <w:sz w:val="22"/>
              </w:rPr>
              <w:t>Purpose</w:t>
            </w:r>
          </w:p>
        </w:tc>
      </w:tr>
      <w:tr>
        <w:trPr/>
        <w:tc>
          <w:tcPr>
            <w:tcW w:w="2610" w:type="dxa"/>
            <w:tcBorders/>
            <w:vAlign w:val="center"/>
          </w:tcPr>
          <w:p>
            <w:pPr>
              <w:pStyle w:val="Normal"/>
              <w:spacing w:lineRule="auto" w:line="252" w:before="0" w:after="100"/>
              <w:rPr>
                <w:sz w:val="22"/>
              </w:rPr>
            </w:pPr>
            <w:r>
              <w:rPr>
                <w:sz w:val="22"/>
              </w:rPr>
              <w:t>Embedding tuning</w:t>
            </w:r>
          </w:p>
        </w:tc>
        <w:tc>
          <w:tcPr>
            <w:tcW w:w="4205" w:type="dxa"/>
            <w:tcBorders/>
            <w:vAlign w:val="center"/>
          </w:tcPr>
          <w:p>
            <w:pPr>
              <w:pStyle w:val="Normal"/>
              <w:spacing w:lineRule="auto" w:line="252" w:before="0" w:after="100"/>
              <w:rPr/>
            </w:pPr>
            <w:r>
              <w:rPr>
                <w:rStyle w:val="KaynakMetinuser"/>
                <w:sz w:val="22"/>
              </w:rPr>
              <w:t>data/external/embedding.jsonl</w:t>
            </w:r>
          </w:p>
        </w:tc>
        <w:tc>
          <w:tcPr>
            <w:tcW w:w="3690" w:type="dxa"/>
            <w:tcBorders/>
            <w:vAlign w:val="center"/>
          </w:tcPr>
          <w:p>
            <w:pPr>
              <w:pStyle w:val="Normal"/>
              <w:spacing w:lineRule="auto" w:line="252" w:before="0" w:after="100"/>
              <w:rPr>
                <w:sz w:val="22"/>
              </w:rPr>
            </w:pPr>
            <w:r>
              <w:rPr>
                <w:sz w:val="22"/>
              </w:rPr>
              <w:t>Contrastive / retrieval adaptation</w:t>
            </w:r>
          </w:p>
        </w:tc>
      </w:tr>
      <w:tr>
        <w:trPr/>
        <w:tc>
          <w:tcPr>
            <w:tcW w:w="2610" w:type="dxa"/>
            <w:tcBorders/>
            <w:vAlign w:val="center"/>
          </w:tcPr>
          <w:p>
            <w:pPr>
              <w:pStyle w:val="Normal"/>
              <w:spacing w:lineRule="auto" w:line="252" w:before="0" w:after="100"/>
              <w:rPr>
                <w:sz w:val="22"/>
              </w:rPr>
            </w:pPr>
            <w:r>
              <w:rPr>
                <w:sz w:val="22"/>
              </w:rPr>
              <w:t>Reranker tuning</w:t>
            </w:r>
          </w:p>
        </w:tc>
        <w:tc>
          <w:tcPr>
            <w:tcW w:w="4205" w:type="dxa"/>
            <w:tcBorders/>
            <w:vAlign w:val="center"/>
          </w:tcPr>
          <w:p>
            <w:pPr>
              <w:pStyle w:val="Normal"/>
              <w:spacing w:lineRule="auto" w:line="252" w:before="0" w:after="100"/>
              <w:rPr/>
            </w:pPr>
            <w:r>
              <w:rPr>
                <w:rStyle w:val="KaynakMetinuser"/>
                <w:sz w:val="22"/>
              </w:rPr>
              <w:t>data/external/reranker.jsonl</w:t>
            </w:r>
          </w:p>
        </w:tc>
        <w:tc>
          <w:tcPr>
            <w:tcW w:w="3690" w:type="dxa"/>
            <w:tcBorders/>
            <w:vAlign w:val="center"/>
          </w:tcPr>
          <w:p>
            <w:pPr>
              <w:pStyle w:val="Normal"/>
              <w:spacing w:lineRule="auto" w:line="252" w:before="0" w:after="100"/>
              <w:rPr>
                <w:sz w:val="22"/>
              </w:rPr>
            </w:pPr>
            <w:r>
              <w:rPr>
                <w:sz w:val="22"/>
              </w:rPr>
              <w:t>Positive-negative ranking adaptation</w:t>
            </w:r>
          </w:p>
        </w:tc>
      </w:tr>
      <w:tr>
        <w:trPr/>
        <w:tc>
          <w:tcPr>
            <w:tcW w:w="2610" w:type="dxa"/>
            <w:tcBorders/>
            <w:vAlign w:val="center"/>
          </w:tcPr>
          <w:p>
            <w:pPr>
              <w:pStyle w:val="Normal"/>
              <w:spacing w:lineRule="auto" w:line="252" w:before="0" w:after="100"/>
              <w:rPr>
                <w:sz w:val="22"/>
              </w:rPr>
            </w:pPr>
            <w:r>
              <w:rPr>
                <w:sz w:val="22"/>
              </w:rPr>
              <w:t>LLM fine-tuning</w:t>
            </w:r>
          </w:p>
        </w:tc>
        <w:tc>
          <w:tcPr>
            <w:tcW w:w="4205" w:type="dxa"/>
            <w:tcBorders/>
            <w:vAlign w:val="center"/>
          </w:tcPr>
          <w:p>
            <w:pPr>
              <w:pStyle w:val="Normal"/>
              <w:spacing w:lineRule="auto" w:line="252" w:before="0" w:after="100"/>
              <w:rPr/>
            </w:pPr>
            <w:r>
              <w:rPr>
                <w:rStyle w:val="KaynakMetinuser"/>
                <w:sz w:val="22"/>
              </w:rPr>
              <w:t>data/external/llm.jsonl</w:t>
            </w:r>
          </w:p>
        </w:tc>
        <w:tc>
          <w:tcPr>
            <w:tcW w:w="3690" w:type="dxa"/>
            <w:tcBorders/>
            <w:vAlign w:val="center"/>
          </w:tcPr>
          <w:p>
            <w:pPr>
              <w:pStyle w:val="Normal"/>
              <w:spacing w:lineRule="auto" w:line="252" w:before="0" w:after="100"/>
              <w:rPr>
                <w:sz w:val="22"/>
              </w:rPr>
            </w:pPr>
            <w:r>
              <w:rPr>
                <w:sz w:val="22"/>
              </w:rPr>
              <w:t>Instruction / answer generation adaptation</w:t>
            </w:r>
          </w:p>
        </w:tc>
      </w:tr>
      <w:tr>
        <w:trPr/>
        <w:tc>
          <w:tcPr>
            <w:tcW w:w="2610" w:type="dxa"/>
            <w:tcBorders/>
            <w:vAlign w:val="center"/>
          </w:tcPr>
          <w:p>
            <w:pPr>
              <w:pStyle w:val="Normal"/>
              <w:spacing w:lineRule="auto" w:line="252" w:before="0" w:after="100"/>
              <w:rPr>
                <w:sz w:val="22"/>
              </w:rPr>
            </w:pPr>
            <w:r>
              <w:rPr>
                <w:sz w:val="22"/>
              </w:rPr>
              <w:t>External benchmark resource</w:t>
            </w:r>
          </w:p>
        </w:tc>
        <w:tc>
          <w:tcPr>
            <w:tcW w:w="4205" w:type="dxa"/>
            <w:tcBorders/>
            <w:vAlign w:val="center"/>
          </w:tcPr>
          <w:p>
            <w:pPr>
              <w:pStyle w:val="Normal"/>
              <w:spacing w:lineRule="auto" w:line="252" w:before="0" w:after="100"/>
              <w:rPr/>
            </w:pPr>
            <w:r>
              <w:rPr>
                <w:rStyle w:val="KaynakMetinuser"/>
                <w:sz w:val="22"/>
              </w:rPr>
              <w:t>data/external/gold_benchmark.json</w:t>
            </w:r>
          </w:p>
        </w:tc>
        <w:tc>
          <w:tcPr>
            <w:tcW w:w="3690" w:type="dxa"/>
            <w:tcBorders/>
            <w:vAlign w:val="center"/>
          </w:tcPr>
          <w:p>
            <w:pPr>
              <w:pStyle w:val="Normal"/>
              <w:spacing w:lineRule="auto" w:line="252" w:before="0" w:after="100"/>
              <w:rPr>
                <w:sz w:val="22"/>
              </w:rPr>
            </w:pPr>
            <w:r>
              <w:rPr>
                <w:sz w:val="22"/>
              </w:rPr>
              <w:t>External inspection and mapping support</w:t>
            </w:r>
          </w:p>
        </w:tc>
      </w:tr>
      <w:tr>
        <w:trPr>
          <w:trHeight w:val="379" w:hRule="atLeast"/>
        </w:trPr>
        <w:tc>
          <w:tcPr>
            <w:tcW w:w="2610" w:type="dxa"/>
            <w:tcBorders/>
            <w:vAlign w:val="center"/>
          </w:tcPr>
          <w:p>
            <w:pPr>
              <w:pStyle w:val="Normal"/>
              <w:spacing w:lineRule="auto" w:line="252" w:before="0" w:after="100"/>
              <w:rPr>
                <w:sz w:val="22"/>
              </w:rPr>
            </w:pPr>
            <w:r>
              <w:rPr>
                <w:sz w:val="22"/>
              </w:rPr>
              <w:t>Official evaluation benchmark</w:t>
            </w:r>
          </w:p>
        </w:tc>
        <w:tc>
          <w:tcPr>
            <w:tcW w:w="4205" w:type="dxa"/>
            <w:tcBorders/>
            <w:vAlign w:val="center"/>
          </w:tcPr>
          <w:p>
            <w:pPr>
              <w:pStyle w:val="Normal"/>
              <w:spacing w:lineRule="auto" w:line="252" w:before="0" w:after="100"/>
              <w:rPr/>
            </w:pPr>
            <w:r>
              <w:rPr>
                <w:rStyle w:val="KaynakMetinuser"/>
                <w:sz w:val="22"/>
              </w:rPr>
              <w:t>data/benchmark/gold_benchmark_v1.csv</w:t>
            </w:r>
          </w:p>
        </w:tc>
        <w:tc>
          <w:tcPr>
            <w:tcW w:w="3690" w:type="dxa"/>
            <w:tcBorders/>
            <w:vAlign w:val="center"/>
          </w:tcPr>
          <w:p>
            <w:pPr>
              <w:pStyle w:val="Normal"/>
              <w:spacing w:lineRule="auto" w:line="252" w:before="0" w:after="100"/>
              <w:rPr>
                <w:sz w:val="22"/>
              </w:rPr>
            </w:pPr>
            <w:r>
              <w:rPr>
                <w:sz w:val="22"/>
              </w:rPr>
              <w:t>Final held-out evaluation only</w:t>
            </w:r>
          </w:p>
        </w:tc>
      </w:tr>
    </w:tbl>
    <w:p>
      <w:pPr>
        <w:pStyle w:val="Heading1"/>
        <w:widowControl/>
        <w:suppressAutoHyphens w:val="true"/>
        <w:bidi w:val="0"/>
        <w:spacing w:lineRule="auto" w:line="276"/>
        <w:jc w:val="start"/>
        <w:rPr>
          <w:sz w:val="22"/>
        </w:rPr>
      </w:pPr>
      <w:r>
        <w:rPr>
          <w:rFonts w:eastAsia="Arial" w:ascii="Arial" w:hAnsi="Arial"/>
          <w:kern w:val="0"/>
          <w:sz w:val="22"/>
          <w:szCs w:val="22"/>
          <w:lang w:val="en-US" w:eastAsia="en-US" w:bidi="ar-SA"/>
        </w:rPr>
        <w:t xml:space="preserve">7.2 Leakage-Safe External-Mapped Fine-Tuning </w:t>
      </w:r>
    </w:p>
    <w:p>
      <w:pPr>
        <w:pStyle w:val="Normal"/>
        <w:spacing w:lineRule="auto" w:line="252" w:before="0" w:after="100"/>
        <w:rPr/>
      </w:pPr>
      <w:r>
        <w:rPr>
          <w:sz w:val="22"/>
        </w:rPr>
        <w:t xml:space="preserve">To make the tuning setup cleaner, a second external-mapped fine-tuning pipeline was created. In this version, external records were kept only if they could be mapped to the official-law schema through law and article identifiers. This reduced the amount of training data, but improved methodological reliability because the tuning data became aligned with the same </w:t>
      </w:r>
      <w:r>
        <w:rPr>
          <w:rStyle w:val="KaynakMetinuser"/>
          <w:sz w:val="22"/>
        </w:rPr>
        <w:t>article_key</w:t>
      </w:r>
      <w:r>
        <w:rPr>
          <w:sz w:val="22"/>
        </w:rPr>
        <w:t xml:space="preserve"> and </w:t>
      </w:r>
      <w:r>
        <w:rPr>
          <w:rStyle w:val="KaynakMetinuser"/>
          <w:sz w:val="22"/>
        </w:rPr>
        <w:t>citation_label</w:t>
      </w:r>
      <w:r>
        <w:rPr>
          <w:sz w:val="22"/>
        </w:rPr>
        <w:t xml:space="preserve"> structure used by the official corpus.</w:t>
      </w:r>
    </w:p>
    <w:p>
      <w:pPr>
        <w:pStyle w:val="Normal"/>
        <w:spacing w:lineRule="auto" w:line="252" w:before="0" w:after="100"/>
        <w:rPr>
          <w:sz w:val="22"/>
        </w:rPr>
      </w:pPr>
      <w:r>
        <w:rPr>
          <w:sz w:val="22"/>
        </w:rPr>
        <w:t>The locked final benchmark was not used for tuning in this setup. Therefore, the external-mapped setup is more conservative than the first external fine-tuning experiment. However, the stricter mapping also reduced the amount and diversity of available training data, which likely explains why the tuned retrieval components did not outperform the zero-shot Qwen3 retrieval stack.</w:t>
      </w:r>
    </w:p>
    <w:tbl>
      <w:tblPr>
        <w:tblW w:w="4195" w:type="dxa"/>
        <w:jc w:val="start"/>
        <w:tblInd w:w="28" w:type="dxa"/>
        <w:tblLayout w:type="fixed"/>
        <w:tblCellMar>
          <w:top w:w="28" w:type="dxa"/>
          <w:start w:w="28" w:type="dxa"/>
          <w:bottom w:w="28" w:type="dxa"/>
          <w:end w:w="28" w:type="dxa"/>
        </w:tblCellMar>
      </w:tblPr>
      <w:tblGrid>
        <w:gridCol w:w="2621"/>
        <w:gridCol w:w="1574"/>
      </w:tblGrid>
      <w:tr>
        <w:trPr>
          <w:tblHeader w:val="true"/>
        </w:trPr>
        <w:tc>
          <w:tcPr>
            <w:tcW w:w="2621" w:type="dxa"/>
            <w:tcBorders/>
            <w:vAlign w:val="center"/>
          </w:tcPr>
          <w:p>
            <w:pPr>
              <w:pStyle w:val="Normal"/>
              <w:spacing w:lineRule="auto" w:line="252" w:before="0" w:after="100"/>
              <w:rPr>
                <w:b/>
                <w:bCs/>
                <w:sz w:val="22"/>
              </w:rPr>
            </w:pPr>
            <w:r>
              <w:rPr>
                <w:b/>
                <w:bCs/>
                <w:sz w:val="22"/>
              </w:rPr>
              <w:t>Dataset / Split</w:t>
            </w:r>
          </w:p>
        </w:tc>
        <w:tc>
          <w:tcPr>
            <w:tcW w:w="1574" w:type="dxa"/>
            <w:tcBorders/>
            <w:vAlign w:val="center"/>
          </w:tcPr>
          <w:p>
            <w:pPr>
              <w:pStyle w:val="Normal"/>
              <w:spacing w:lineRule="auto" w:line="252" w:before="0" w:after="100"/>
              <w:rPr>
                <w:b/>
                <w:bCs/>
                <w:sz w:val="22"/>
              </w:rPr>
            </w:pPr>
            <w:r>
              <w:rPr>
                <w:b/>
                <w:bCs/>
                <w:sz w:val="22"/>
              </w:rPr>
              <w:t>Rows / Records</w:t>
            </w:r>
          </w:p>
        </w:tc>
      </w:tr>
      <w:tr>
        <w:trPr/>
        <w:tc>
          <w:tcPr>
            <w:tcW w:w="2621" w:type="dxa"/>
            <w:tcBorders/>
            <w:vAlign w:val="center"/>
          </w:tcPr>
          <w:p>
            <w:pPr>
              <w:pStyle w:val="Normal"/>
              <w:spacing w:lineRule="auto" w:line="252" w:before="0" w:after="100"/>
              <w:rPr>
                <w:sz w:val="22"/>
              </w:rPr>
            </w:pPr>
            <w:r>
              <w:rPr>
                <w:sz w:val="22"/>
              </w:rPr>
              <w:t>External embedding rows</w:t>
            </w:r>
          </w:p>
        </w:tc>
        <w:tc>
          <w:tcPr>
            <w:tcW w:w="1574" w:type="dxa"/>
            <w:tcBorders/>
            <w:vAlign w:val="center"/>
          </w:tcPr>
          <w:p>
            <w:pPr>
              <w:pStyle w:val="Normal"/>
              <w:spacing w:lineRule="auto" w:line="252" w:before="0" w:after="100"/>
              <w:rPr>
                <w:sz w:val="22"/>
              </w:rPr>
            </w:pPr>
            <w:r>
              <w:rPr>
                <w:sz w:val="22"/>
              </w:rPr>
              <w:t>2,059</w:t>
            </w:r>
          </w:p>
        </w:tc>
      </w:tr>
      <w:tr>
        <w:trPr/>
        <w:tc>
          <w:tcPr>
            <w:tcW w:w="2621" w:type="dxa"/>
            <w:tcBorders/>
            <w:vAlign w:val="center"/>
          </w:tcPr>
          <w:p>
            <w:pPr>
              <w:pStyle w:val="Normal"/>
              <w:spacing w:lineRule="auto" w:line="252" w:before="0" w:after="100"/>
              <w:rPr>
                <w:sz w:val="22"/>
              </w:rPr>
            </w:pPr>
            <w:r>
              <w:rPr>
                <w:sz w:val="22"/>
              </w:rPr>
              <w:t>External embedding mapped</w:t>
            </w:r>
          </w:p>
        </w:tc>
        <w:tc>
          <w:tcPr>
            <w:tcW w:w="1574" w:type="dxa"/>
            <w:tcBorders/>
            <w:vAlign w:val="center"/>
          </w:tcPr>
          <w:p>
            <w:pPr>
              <w:pStyle w:val="Normal"/>
              <w:spacing w:lineRule="auto" w:line="252" w:before="0" w:after="100"/>
              <w:rPr>
                <w:sz w:val="22"/>
              </w:rPr>
            </w:pPr>
            <w:r>
              <w:rPr>
                <w:sz w:val="22"/>
              </w:rPr>
              <w:t>428</w:t>
            </w:r>
          </w:p>
        </w:tc>
      </w:tr>
      <w:tr>
        <w:trPr/>
        <w:tc>
          <w:tcPr>
            <w:tcW w:w="2621" w:type="dxa"/>
            <w:tcBorders/>
            <w:vAlign w:val="center"/>
          </w:tcPr>
          <w:p>
            <w:pPr>
              <w:pStyle w:val="Normal"/>
              <w:spacing w:lineRule="auto" w:line="252" w:before="0" w:after="100"/>
              <w:rPr>
                <w:sz w:val="22"/>
              </w:rPr>
            </w:pPr>
            <w:r>
              <w:rPr>
                <w:sz w:val="22"/>
              </w:rPr>
              <w:t>External reranker rows</w:t>
            </w:r>
          </w:p>
        </w:tc>
        <w:tc>
          <w:tcPr>
            <w:tcW w:w="1574" w:type="dxa"/>
            <w:tcBorders/>
            <w:vAlign w:val="center"/>
          </w:tcPr>
          <w:p>
            <w:pPr>
              <w:pStyle w:val="Normal"/>
              <w:spacing w:lineRule="auto" w:line="252" w:before="0" w:after="100"/>
              <w:rPr>
                <w:sz w:val="22"/>
              </w:rPr>
            </w:pPr>
            <w:r>
              <w:rPr>
                <w:sz w:val="22"/>
              </w:rPr>
              <w:t>6,752</w:t>
            </w:r>
          </w:p>
        </w:tc>
      </w:tr>
      <w:tr>
        <w:trPr/>
        <w:tc>
          <w:tcPr>
            <w:tcW w:w="2621" w:type="dxa"/>
            <w:tcBorders/>
            <w:vAlign w:val="center"/>
          </w:tcPr>
          <w:p>
            <w:pPr>
              <w:pStyle w:val="Normal"/>
              <w:spacing w:lineRule="auto" w:line="252" w:before="0" w:after="100"/>
              <w:rPr>
                <w:sz w:val="22"/>
              </w:rPr>
            </w:pPr>
            <w:r>
              <w:rPr>
                <w:sz w:val="22"/>
              </w:rPr>
              <w:t>External reranker mapped</w:t>
            </w:r>
          </w:p>
        </w:tc>
        <w:tc>
          <w:tcPr>
            <w:tcW w:w="1574" w:type="dxa"/>
            <w:tcBorders/>
            <w:vAlign w:val="center"/>
          </w:tcPr>
          <w:p>
            <w:pPr>
              <w:pStyle w:val="Normal"/>
              <w:spacing w:lineRule="auto" w:line="252" w:before="0" w:after="100"/>
              <w:rPr>
                <w:sz w:val="22"/>
              </w:rPr>
            </w:pPr>
            <w:r>
              <w:rPr>
                <w:sz w:val="22"/>
              </w:rPr>
              <w:t>1,462</w:t>
            </w:r>
          </w:p>
        </w:tc>
      </w:tr>
      <w:tr>
        <w:trPr/>
        <w:tc>
          <w:tcPr>
            <w:tcW w:w="2621" w:type="dxa"/>
            <w:tcBorders/>
            <w:vAlign w:val="center"/>
          </w:tcPr>
          <w:p>
            <w:pPr>
              <w:pStyle w:val="Normal"/>
              <w:spacing w:lineRule="auto" w:line="252" w:before="0" w:after="100"/>
              <w:rPr>
                <w:sz w:val="22"/>
              </w:rPr>
            </w:pPr>
            <w:r>
              <w:rPr>
                <w:sz w:val="22"/>
              </w:rPr>
              <w:t>External LLM rows</w:t>
            </w:r>
          </w:p>
        </w:tc>
        <w:tc>
          <w:tcPr>
            <w:tcW w:w="1574" w:type="dxa"/>
            <w:tcBorders/>
            <w:vAlign w:val="center"/>
          </w:tcPr>
          <w:p>
            <w:pPr>
              <w:pStyle w:val="Normal"/>
              <w:spacing w:lineRule="auto" w:line="252" w:before="0" w:after="100"/>
              <w:rPr>
                <w:sz w:val="22"/>
              </w:rPr>
            </w:pPr>
            <w:r>
              <w:rPr>
                <w:sz w:val="22"/>
              </w:rPr>
              <w:t>13,758</w:t>
            </w:r>
          </w:p>
        </w:tc>
      </w:tr>
      <w:tr>
        <w:trPr/>
        <w:tc>
          <w:tcPr>
            <w:tcW w:w="2621" w:type="dxa"/>
            <w:tcBorders/>
            <w:vAlign w:val="center"/>
          </w:tcPr>
          <w:p>
            <w:pPr>
              <w:pStyle w:val="Normal"/>
              <w:spacing w:lineRule="auto" w:line="252" w:before="0" w:after="100"/>
              <w:rPr>
                <w:sz w:val="22"/>
              </w:rPr>
            </w:pPr>
            <w:r>
              <w:rPr>
                <w:sz w:val="22"/>
              </w:rPr>
              <w:t>External LLM mapped</w:t>
            </w:r>
          </w:p>
        </w:tc>
        <w:tc>
          <w:tcPr>
            <w:tcW w:w="1574" w:type="dxa"/>
            <w:tcBorders/>
            <w:vAlign w:val="center"/>
          </w:tcPr>
          <w:p>
            <w:pPr>
              <w:pStyle w:val="Normal"/>
              <w:spacing w:lineRule="auto" w:line="252" w:before="0" w:after="100"/>
              <w:rPr>
                <w:sz w:val="22"/>
              </w:rPr>
            </w:pPr>
            <w:r>
              <w:rPr>
                <w:sz w:val="22"/>
              </w:rPr>
              <w:t>2,836</w:t>
            </w:r>
          </w:p>
        </w:tc>
      </w:tr>
      <w:tr>
        <w:trPr/>
        <w:tc>
          <w:tcPr>
            <w:tcW w:w="2621" w:type="dxa"/>
            <w:tcBorders/>
            <w:vAlign w:val="center"/>
          </w:tcPr>
          <w:p>
            <w:pPr>
              <w:pStyle w:val="Normal"/>
              <w:spacing w:lineRule="auto" w:line="252" w:before="0" w:after="100"/>
              <w:rPr>
                <w:sz w:val="22"/>
              </w:rPr>
            </w:pPr>
            <w:r>
              <w:rPr>
                <w:sz w:val="22"/>
              </w:rPr>
              <w:t>External gold questions</w:t>
            </w:r>
          </w:p>
        </w:tc>
        <w:tc>
          <w:tcPr>
            <w:tcW w:w="1574" w:type="dxa"/>
            <w:tcBorders/>
            <w:vAlign w:val="center"/>
          </w:tcPr>
          <w:p>
            <w:pPr>
              <w:pStyle w:val="Normal"/>
              <w:spacing w:lineRule="auto" w:line="252" w:before="0" w:after="100"/>
              <w:rPr>
                <w:sz w:val="22"/>
              </w:rPr>
            </w:pPr>
            <w:r>
              <w:rPr>
                <w:sz w:val="22"/>
              </w:rPr>
              <w:t>240</w:t>
            </w:r>
          </w:p>
        </w:tc>
      </w:tr>
      <w:tr>
        <w:trPr/>
        <w:tc>
          <w:tcPr>
            <w:tcW w:w="2621" w:type="dxa"/>
            <w:tcBorders/>
            <w:vAlign w:val="center"/>
          </w:tcPr>
          <w:p>
            <w:pPr>
              <w:pStyle w:val="Normal"/>
              <w:spacing w:lineRule="auto" w:line="252" w:before="0" w:after="100"/>
              <w:rPr>
                <w:sz w:val="22"/>
              </w:rPr>
            </w:pPr>
            <w:r>
              <w:rPr>
                <w:sz w:val="22"/>
              </w:rPr>
              <w:t>External gold mapped</w:t>
            </w:r>
          </w:p>
        </w:tc>
        <w:tc>
          <w:tcPr>
            <w:tcW w:w="1574" w:type="dxa"/>
            <w:tcBorders/>
            <w:vAlign w:val="center"/>
          </w:tcPr>
          <w:p>
            <w:pPr>
              <w:pStyle w:val="Normal"/>
              <w:spacing w:lineRule="auto" w:line="252" w:before="0" w:after="100"/>
              <w:rPr>
                <w:sz w:val="22"/>
              </w:rPr>
            </w:pPr>
            <w:r>
              <w:rPr>
                <w:sz w:val="22"/>
              </w:rPr>
              <w:t>71</w:t>
            </w:r>
          </w:p>
        </w:tc>
      </w:tr>
      <w:tr>
        <w:trPr/>
        <w:tc>
          <w:tcPr>
            <w:tcW w:w="2621" w:type="dxa"/>
            <w:tcBorders/>
            <w:vAlign w:val="center"/>
          </w:tcPr>
          <w:p>
            <w:pPr>
              <w:pStyle w:val="Normal"/>
              <w:spacing w:lineRule="auto" w:line="252" w:before="0" w:after="100"/>
              <w:rPr>
                <w:sz w:val="22"/>
              </w:rPr>
            </w:pPr>
            <w:r>
              <w:rPr>
                <w:sz w:val="22"/>
              </w:rPr>
              <w:t>Embedding train records</w:t>
            </w:r>
          </w:p>
        </w:tc>
        <w:tc>
          <w:tcPr>
            <w:tcW w:w="1574" w:type="dxa"/>
            <w:tcBorders/>
            <w:vAlign w:val="center"/>
          </w:tcPr>
          <w:p>
            <w:pPr>
              <w:pStyle w:val="Normal"/>
              <w:spacing w:lineRule="auto" w:line="252" w:before="0" w:after="100"/>
              <w:rPr>
                <w:sz w:val="22"/>
              </w:rPr>
            </w:pPr>
            <w:r>
              <w:rPr>
                <w:sz w:val="22"/>
              </w:rPr>
              <w:t>449</w:t>
            </w:r>
          </w:p>
        </w:tc>
      </w:tr>
      <w:tr>
        <w:trPr/>
        <w:tc>
          <w:tcPr>
            <w:tcW w:w="2621" w:type="dxa"/>
            <w:tcBorders/>
            <w:vAlign w:val="center"/>
          </w:tcPr>
          <w:p>
            <w:pPr>
              <w:pStyle w:val="Normal"/>
              <w:spacing w:lineRule="auto" w:line="252" w:before="0" w:after="100"/>
              <w:rPr>
                <w:sz w:val="22"/>
              </w:rPr>
            </w:pPr>
            <w:r>
              <w:rPr>
                <w:sz w:val="22"/>
              </w:rPr>
              <w:t>Embedding validation records</w:t>
            </w:r>
          </w:p>
        </w:tc>
        <w:tc>
          <w:tcPr>
            <w:tcW w:w="1574" w:type="dxa"/>
            <w:tcBorders/>
            <w:vAlign w:val="center"/>
          </w:tcPr>
          <w:p>
            <w:pPr>
              <w:pStyle w:val="Normal"/>
              <w:spacing w:lineRule="auto" w:line="252" w:before="0" w:after="100"/>
              <w:rPr>
                <w:sz w:val="22"/>
              </w:rPr>
            </w:pPr>
            <w:r>
              <w:rPr>
                <w:sz w:val="22"/>
              </w:rPr>
              <w:t>50</w:t>
            </w:r>
          </w:p>
        </w:tc>
      </w:tr>
      <w:tr>
        <w:trPr/>
        <w:tc>
          <w:tcPr>
            <w:tcW w:w="2621" w:type="dxa"/>
            <w:tcBorders/>
            <w:vAlign w:val="center"/>
          </w:tcPr>
          <w:p>
            <w:pPr>
              <w:pStyle w:val="Normal"/>
              <w:spacing w:lineRule="auto" w:line="252" w:before="0" w:after="100"/>
              <w:rPr>
                <w:sz w:val="22"/>
              </w:rPr>
            </w:pPr>
            <w:r>
              <w:rPr>
                <w:sz w:val="22"/>
              </w:rPr>
              <w:t>Reranker train records</w:t>
            </w:r>
          </w:p>
        </w:tc>
        <w:tc>
          <w:tcPr>
            <w:tcW w:w="1574" w:type="dxa"/>
            <w:tcBorders/>
            <w:vAlign w:val="center"/>
          </w:tcPr>
          <w:p>
            <w:pPr>
              <w:pStyle w:val="Normal"/>
              <w:spacing w:lineRule="auto" w:line="252" w:before="0" w:after="100"/>
              <w:rPr>
                <w:sz w:val="22"/>
              </w:rPr>
            </w:pPr>
            <w:r>
              <w:rPr>
                <w:sz w:val="22"/>
              </w:rPr>
              <w:t>1,444</w:t>
            </w:r>
          </w:p>
        </w:tc>
      </w:tr>
      <w:tr>
        <w:trPr/>
        <w:tc>
          <w:tcPr>
            <w:tcW w:w="2621" w:type="dxa"/>
            <w:tcBorders/>
            <w:vAlign w:val="center"/>
          </w:tcPr>
          <w:p>
            <w:pPr>
              <w:pStyle w:val="Normal"/>
              <w:spacing w:lineRule="auto" w:line="252" w:before="0" w:after="100"/>
              <w:rPr>
                <w:sz w:val="22"/>
              </w:rPr>
            </w:pPr>
            <w:r>
              <w:rPr>
                <w:sz w:val="22"/>
              </w:rPr>
              <w:t>Reranker validation records</w:t>
            </w:r>
          </w:p>
        </w:tc>
        <w:tc>
          <w:tcPr>
            <w:tcW w:w="1574" w:type="dxa"/>
            <w:tcBorders/>
            <w:vAlign w:val="center"/>
          </w:tcPr>
          <w:p>
            <w:pPr>
              <w:pStyle w:val="Normal"/>
              <w:spacing w:lineRule="auto" w:line="252" w:before="0" w:after="100"/>
              <w:rPr>
                <w:sz w:val="22"/>
              </w:rPr>
            </w:pPr>
            <w:r>
              <w:rPr>
                <w:sz w:val="22"/>
              </w:rPr>
              <w:t>160</w:t>
            </w:r>
          </w:p>
        </w:tc>
      </w:tr>
      <w:tr>
        <w:trPr/>
        <w:tc>
          <w:tcPr>
            <w:tcW w:w="2621" w:type="dxa"/>
            <w:tcBorders/>
            <w:vAlign w:val="center"/>
          </w:tcPr>
          <w:p>
            <w:pPr>
              <w:pStyle w:val="Normal"/>
              <w:spacing w:lineRule="auto" w:line="252" w:before="0" w:after="100"/>
              <w:rPr>
                <w:sz w:val="22"/>
              </w:rPr>
            </w:pPr>
            <w:r>
              <w:rPr>
                <w:sz w:val="22"/>
              </w:rPr>
              <w:t>LLM train records</w:t>
            </w:r>
          </w:p>
        </w:tc>
        <w:tc>
          <w:tcPr>
            <w:tcW w:w="1574" w:type="dxa"/>
            <w:tcBorders/>
            <w:vAlign w:val="center"/>
          </w:tcPr>
          <w:p>
            <w:pPr>
              <w:pStyle w:val="Normal"/>
              <w:spacing w:lineRule="auto" w:line="252" w:before="0" w:after="100"/>
              <w:rPr>
                <w:sz w:val="22"/>
              </w:rPr>
            </w:pPr>
            <w:r>
              <w:rPr>
                <w:sz w:val="22"/>
              </w:rPr>
              <w:t>2,616</w:t>
            </w:r>
          </w:p>
        </w:tc>
      </w:tr>
      <w:tr>
        <w:trPr/>
        <w:tc>
          <w:tcPr>
            <w:tcW w:w="2621" w:type="dxa"/>
            <w:tcBorders/>
            <w:vAlign w:val="center"/>
          </w:tcPr>
          <w:p>
            <w:pPr>
              <w:pStyle w:val="Normal"/>
              <w:spacing w:lineRule="auto" w:line="252" w:before="0" w:after="100"/>
              <w:rPr>
                <w:sz w:val="22"/>
              </w:rPr>
            </w:pPr>
            <w:r>
              <w:rPr>
                <w:sz w:val="22"/>
              </w:rPr>
              <w:t>LLM validation records</w:t>
            </w:r>
          </w:p>
        </w:tc>
        <w:tc>
          <w:tcPr>
            <w:tcW w:w="1574" w:type="dxa"/>
            <w:tcBorders/>
            <w:vAlign w:val="center"/>
          </w:tcPr>
          <w:p>
            <w:pPr>
              <w:pStyle w:val="Normal"/>
              <w:spacing w:lineRule="auto" w:line="252" w:before="0" w:after="100"/>
              <w:rPr>
                <w:sz w:val="22"/>
              </w:rPr>
            </w:pPr>
            <w:r>
              <w:rPr>
                <w:sz w:val="22"/>
              </w:rPr>
              <w:t>291</w:t>
            </w:r>
          </w:p>
        </w:tc>
      </w:tr>
    </w:tbl>
    <w:p>
      <w:pPr>
        <w:pStyle w:val="Normal"/>
        <w:spacing w:lineRule="auto" w:line="252" w:before="0" w:after="100"/>
        <w:rPr>
          <w:sz w:val="22"/>
        </w:rPr>
      </w:pPr>
      <w:r>
        <w:rPr>
          <w:sz w:val="22"/>
        </w:rPr>
        <w:t>The external-mapped retrieval ablation results are shown below.</w:t>
      </w:r>
    </w:p>
    <w:tbl>
      <w:tblPr>
        <w:tblW w:w="10044" w:type="dxa"/>
        <w:jc w:val="start"/>
        <w:tblInd w:w="28" w:type="dxa"/>
        <w:tblLayout w:type="fixed"/>
        <w:tblCellMar>
          <w:top w:w="28" w:type="dxa"/>
          <w:start w:w="28" w:type="dxa"/>
          <w:bottom w:w="28" w:type="dxa"/>
          <w:end w:w="28" w:type="dxa"/>
        </w:tblCellMar>
      </w:tblPr>
      <w:tblGrid>
        <w:gridCol w:w="4598"/>
        <w:gridCol w:w="1288"/>
        <w:gridCol w:w="1399"/>
        <w:gridCol w:w="1088"/>
        <w:gridCol w:w="1671"/>
      </w:tblGrid>
      <w:tr>
        <w:trPr>
          <w:tblHeader w:val="true"/>
        </w:trPr>
        <w:tc>
          <w:tcPr>
            <w:tcW w:w="4598" w:type="dxa"/>
            <w:tcBorders/>
            <w:vAlign w:val="center"/>
          </w:tcPr>
          <w:p>
            <w:pPr>
              <w:pStyle w:val="Normal"/>
              <w:spacing w:lineRule="auto" w:line="252" w:before="0" w:after="100"/>
              <w:rPr>
                <w:b/>
                <w:bCs/>
                <w:sz w:val="22"/>
              </w:rPr>
            </w:pPr>
            <w:r>
              <w:rPr>
                <w:b/>
                <w:bCs/>
                <w:sz w:val="22"/>
              </w:rPr>
              <w:t>System</w:t>
            </w:r>
          </w:p>
        </w:tc>
        <w:tc>
          <w:tcPr>
            <w:tcW w:w="1288" w:type="dxa"/>
            <w:tcBorders/>
            <w:vAlign w:val="center"/>
          </w:tcPr>
          <w:p>
            <w:pPr>
              <w:pStyle w:val="Normal"/>
              <w:spacing w:lineRule="auto" w:line="252" w:before="0" w:after="100"/>
              <w:rPr>
                <w:b/>
                <w:bCs/>
                <w:sz w:val="22"/>
              </w:rPr>
            </w:pPr>
            <w:r>
              <w:rPr>
                <w:b/>
                <w:bCs/>
                <w:sz w:val="22"/>
              </w:rPr>
              <w:t>article_hit@5</w:t>
            </w:r>
          </w:p>
        </w:tc>
        <w:tc>
          <w:tcPr>
            <w:tcW w:w="1399" w:type="dxa"/>
            <w:tcBorders/>
            <w:vAlign w:val="center"/>
          </w:tcPr>
          <w:p>
            <w:pPr>
              <w:pStyle w:val="Normal"/>
              <w:spacing w:lineRule="auto" w:line="252" w:before="0" w:after="100"/>
              <w:rPr>
                <w:b/>
                <w:bCs/>
                <w:sz w:val="22"/>
              </w:rPr>
            </w:pPr>
            <w:r>
              <w:rPr>
                <w:b/>
                <w:bCs/>
                <w:sz w:val="22"/>
              </w:rPr>
              <w:t>article_hit@10</w:t>
            </w:r>
          </w:p>
        </w:tc>
        <w:tc>
          <w:tcPr>
            <w:tcW w:w="1088" w:type="dxa"/>
            <w:tcBorders/>
            <w:vAlign w:val="center"/>
          </w:tcPr>
          <w:p>
            <w:pPr>
              <w:pStyle w:val="Normal"/>
              <w:spacing w:lineRule="auto" w:line="252" w:before="0" w:after="100"/>
              <w:rPr>
                <w:b/>
                <w:bCs/>
                <w:sz w:val="22"/>
              </w:rPr>
            </w:pPr>
            <w:r>
              <w:rPr>
                <w:b/>
                <w:bCs/>
                <w:sz w:val="22"/>
              </w:rPr>
              <w:t>article_mrr</w:t>
            </w:r>
          </w:p>
        </w:tc>
        <w:tc>
          <w:tcPr>
            <w:tcW w:w="1671" w:type="dxa"/>
            <w:tcBorders/>
            <w:vAlign w:val="center"/>
          </w:tcPr>
          <w:p>
            <w:pPr>
              <w:pStyle w:val="Normal"/>
              <w:spacing w:lineRule="auto" w:line="252" w:before="0" w:after="100"/>
              <w:rPr>
                <w:b/>
                <w:bCs/>
                <w:sz w:val="22"/>
              </w:rPr>
            </w:pPr>
            <w:r>
              <w:rPr>
                <w:b/>
                <w:bCs/>
                <w:sz w:val="22"/>
              </w:rPr>
              <w:t>article_ndcg@10</w:t>
            </w:r>
          </w:p>
        </w:tc>
      </w:tr>
      <w:tr>
        <w:trPr/>
        <w:tc>
          <w:tcPr>
            <w:tcW w:w="4598" w:type="dxa"/>
            <w:tcBorders/>
            <w:vAlign w:val="center"/>
          </w:tcPr>
          <w:p>
            <w:pPr>
              <w:pStyle w:val="Normal"/>
              <w:spacing w:lineRule="auto" w:line="252" w:before="0" w:after="100"/>
              <w:rPr>
                <w:sz w:val="22"/>
              </w:rPr>
            </w:pPr>
            <w:r>
              <w:rPr>
                <w:sz w:val="22"/>
              </w:rPr>
              <w:t>External-mapped tuned embedding dense-only</w:t>
            </w:r>
          </w:p>
        </w:tc>
        <w:tc>
          <w:tcPr>
            <w:tcW w:w="1288" w:type="dxa"/>
            <w:tcBorders/>
            <w:vAlign w:val="center"/>
          </w:tcPr>
          <w:p>
            <w:pPr>
              <w:pStyle w:val="Normal"/>
              <w:spacing w:lineRule="auto" w:line="252" w:before="0" w:after="100"/>
              <w:rPr>
                <w:sz w:val="22"/>
              </w:rPr>
            </w:pPr>
            <w:r>
              <w:rPr>
                <w:sz w:val="22"/>
              </w:rPr>
              <w:t>0.7421</w:t>
            </w:r>
          </w:p>
        </w:tc>
        <w:tc>
          <w:tcPr>
            <w:tcW w:w="1399" w:type="dxa"/>
            <w:tcBorders/>
            <w:vAlign w:val="center"/>
          </w:tcPr>
          <w:p>
            <w:pPr>
              <w:pStyle w:val="Normal"/>
              <w:spacing w:lineRule="auto" w:line="252" w:before="0" w:after="100"/>
              <w:rPr>
                <w:sz w:val="22"/>
              </w:rPr>
            </w:pPr>
            <w:r>
              <w:rPr>
                <w:sz w:val="22"/>
              </w:rPr>
              <w:t>0.7789</w:t>
            </w:r>
          </w:p>
        </w:tc>
        <w:tc>
          <w:tcPr>
            <w:tcW w:w="1088" w:type="dxa"/>
            <w:tcBorders/>
            <w:vAlign w:val="center"/>
          </w:tcPr>
          <w:p>
            <w:pPr>
              <w:pStyle w:val="Normal"/>
              <w:spacing w:lineRule="auto" w:line="252" w:before="0" w:after="100"/>
              <w:rPr>
                <w:sz w:val="22"/>
              </w:rPr>
            </w:pPr>
            <w:r>
              <w:rPr>
                <w:sz w:val="22"/>
              </w:rPr>
              <w:t>0.5859</w:t>
            </w:r>
          </w:p>
        </w:tc>
        <w:tc>
          <w:tcPr>
            <w:tcW w:w="1671" w:type="dxa"/>
            <w:tcBorders/>
            <w:vAlign w:val="center"/>
          </w:tcPr>
          <w:p>
            <w:pPr>
              <w:pStyle w:val="Normal"/>
              <w:spacing w:lineRule="auto" w:line="252" w:before="0" w:after="100"/>
              <w:rPr>
                <w:sz w:val="22"/>
              </w:rPr>
            </w:pPr>
            <w:r>
              <w:rPr>
                <w:sz w:val="22"/>
              </w:rPr>
              <w:t>0.6336</w:t>
            </w:r>
          </w:p>
        </w:tc>
      </w:tr>
      <w:tr>
        <w:trPr/>
        <w:tc>
          <w:tcPr>
            <w:tcW w:w="4598" w:type="dxa"/>
            <w:tcBorders/>
            <w:vAlign w:val="center"/>
          </w:tcPr>
          <w:p>
            <w:pPr>
              <w:pStyle w:val="Normal"/>
              <w:spacing w:lineRule="auto" w:line="252" w:before="0" w:after="100"/>
              <w:rPr>
                <w:sz w:val="22"/>
              </w:rPr>
            </w:pPr>
            <w:r>
              <w:rPr>
                <w:sz w:val="22"/>
              </w:rPr>
              <w:t>External-mapped tuned embedding + base reranker</w:t>
            </w:r>
          </w:p>
        </w:tc>
        <w:tc>
          <w:tcPr>
            <w:tcW w:w="1288" w:type="dxa"/>
            <w:tcBorders/>
            <w:vAlign w:val="center"/>
          </w:tcPr>
          <w:p>
            <w:pPr>
              <w:pStyle w:val="Normal"/>
              <w:spacing w:lineRule="auto" w:line="252" w:before="0" w:after="100"/>
              <w:rPr>
                <w:sz w:val="22"/>
              </w:rPr>
            </w:pPr>
            <w:r>
              <w:rPr>
                <w:sz w:val="22"/>
              </w:rPr>
              <w:t>0.1368</w:t>
            </w:r>
          </w:p>
        </w:tc>
        <w:tc>
          <w:tcPr>
            <w:tcW w:w="1399" w:type="dxa"/>
            <w:tcBorders/>
            <w:vAlign w:val="center"/>
          </w:tcPr>
          <w:p>
            <w:pPr>
              <w:pStyle w:val="Normal"/>
              <w:spacing w:lineRule="auto" w:line="252" w:before="0" w:after="100"/>
              <w:rPr>
                <w:sz w:val="22"/>
              </w:rPr>
            </w:pPr>
            <w:r>
              <w:rPr>
                <w:sz w:val="22"/>
              </w:rPr>
              <w:t>0.2737</w:t>
            </w:r>
          </w:p>
        </w:tc>
        <w:tc>
          <w:tcPr>
            <w:tcW w:w="1088" w:type="dxa"/>
            <w:tcBorders/>
            <w:vAlign w:val="center"/>
          </w:tcPr>
          <w:p>
            <w:pPr>
              <w:pStyle w:val="Normal"/>
              <w:spacing w:lineRule="auto" w:line="252" w:before="0" w:after="100"/>
              <w:rPr>
                <w:sz w:val="22"/>
              </w:rPr>
            </w:pPr>
            <w:r>
              <w:rPr>
                <w:sz w:val="22"/>
              </w:rPr>
              <w:t>0.0838</w:t>
            </w:r>
          </w:p>
        </w:tc>
        <w:tc>
          <w:tcPr>
            <w:tcW w:w="1671" w:type="dxa"/>
            <w:tcBorders/>
            <w:vAlign w:val="center"/>
          </w:tcPr>
          <w:p>
            <w:pPr>
              <w:pStyle w:val="Normal"/>
              <w:spacing w:lineRule="auto" w:line="252" w:before="0" w:after="100"/>
              <w:rPr>
                <w:sz w:val="22"/>
              </w:rPr>
            </w:pPr>
            <w:r>
              <w:rPr>
                <w:sz w:val="22"/>
              </w:rPr>
              <w:t>0.1274</w:t>
            </w:r>
          </w:p>
        </w:tc>
      </w:tr>
      <w:tr>
        <w:trPr/>
        <w:tc>
          <w:tcPr>
            <w:tcW w:w="4598" w:type="dxa"/>
            <w:tcBorders/>
            <w:vAlign w:val="center"/>
          </w:tcPr>
          <w:p>
            <w:pPr>
              <w:pStyle w:val="Normal"/>
              <w:spacing w:lineRule="auto" w:line="252" w:before="0" w:after="100"/>
              <w:rPr>
                <w:sz w:val="22"/>
              </w:rPr>
            </w:pPr>
            <w:r>
              <w:rPr>
                <w:sz w:val="22"/>
              </w:rPr>
              <w:t>External-mapped tuned embedding + tuned reranker</w:t>
            </w:r>
          </w:p>
        </w:tc>
        <w:tc>
          <w:tcPr>
            <w:tcW w:w="1288" w:type="dxa"/>
            <w:tcBorders/>
            <w:vAlign w:val="center"/>
          </w:tcPr>
          <w:p>
            <w:pPr>
              <w:pStyle w:val="Normal"/>
              <w:spacing w:lineRule="auto" w:line="252" w:before="0" w:after="100"/>
              <w:rPr>
                <w:sz w:val="22"/>
              </w:rPr>
            </w:pPr>
            <w:r>
              <w:rPr>
                <w:sz w:val="22"/>
              </w:rPr>
              <w:t>0.3474</w:t>
            </w:r>
          </w:p>
        </w:tc>
        <w:tc>
          <w:tcPr>
            <w:tcW w:w="1399" w:type="dxa"/>
            <w:tcBorders/>
            <w:vAlign w:val="center"/>
          </w:tcPr>
          <w:p>
            <w:pPr>
              <w:pStyle w:val="Normal"/>
              <w:spacing w:lineRule="auto" w:line="252" w:before="0" w:after="100"/>
              <w:rPr>
                <w:sz w:val="22"/>
              </w:rPr>
            </w:pPr>
            <w:r>
              <w:rPr>
                <w:sz w:val="22"/>
              </w:rPr>
              <w:t>0.5053</w:t>
            </w:r>
          </w:p>
        </w:tc>
        <w:tc>
          <w:tcPr>
            <w:tcW w:w="1088" w:type="dxa"/>
            <w:tcBorders/>
            <w:vAlign w:val="center"/>
          </w:tcPr>
          <w:p>
            <w:pPr>
              <w:pStyle w:val="Normal"/>
              <w:spacing w:lineRule="auto" w:line="252" w:before="0" w:after="100"/>
              <w:rPr>
                <w:sz w:val="22"/>
              </w:rPr>
            </w:pPr>
            <w:r>
              <w:rPr>
                <w:sz w:val="22"/>
              </w:rPr>
              <w:t>0.2102</w:t>
            </w:r>
          </w:p>
        </w:tc>
        <w:tc>
          <w:tcPr>
            <w:tcW w:w="1671" w:type="dxa"/>
            <w:tcBorders/>
            <w:vAlign w:val="center"/>
          </w:tcPr>
          <w:p>
            <w:pPr>
              <w:pStyle w:val="Normal"/>
              <w:spacing w:lineRule="auto" w:line="252" w:before="0" w:after="100"/>
              <w:rPr>
                <w:sz w:val="22"/>
              </w:rPr>
            </w:pPr>
            <w:r>
              <w:rPr>
                <w:sz w:val="22"/>
              </w:rPr>
              <w:t>0.2793</w:t>
            </w:r>
          </w:p>
        </w:tc>
      </w:tr>
      <w:tr>
        <w:trPr/>
        <w:tc>
          <w:tcPr>
            <w:tcW w:w="4598" w:type="dxa"/>
            <w:tcBorders/>
            <w:vAlign w:val="center"/>
          </w:tcPr>
          <w:p>
            <w:pPr>
              <w:pStyle w:val="Normal"/>
              <w:spacing w:lineRule="auto" w:line="252" w:before="0" w:after="100"/>
              <w:rPr>
                <w:sz w:val="22"/>
              </w:rPr>
            </w:pPr>
            <w:r>
              <w:rPr>
                <w:sz w:val="22"/>
              </w:rPr>
              <w:t>Final zero-shot Qwen3 embedding + Qwen3 reranker</w:t>
            </w:r>
          </w:p>
        </w:tc>
        <w:tc>
          <w:tcPr>
            <w:tcW w:w="1288" w:type="dxa"/>
            <w:tcBorders/>
            <w:vAlign w:val="center"/>
          </w:tcPr>
          <w:p>
            <w:pPr>
              <w:pStyle w:val="Normal"/>
              <w:spacing w:lineRule="auto" w:line="252" w:before="0" w:after="100"/>
              <w:rPr>
                <w:sz w:val="22"/>
              </w:rPr>
            </w:pPr>
            <w:r>
              <w:rPr>
                <w:sz w:val="22"/>
              </w:rPr>
              <w:t>0.8368</w:t>
            </w:r>
          </w:p>
        </w:tc>
        <w:tc>
          <w:tcPr>
            <w:tcW w:w="1399" w:type="dxa"/>
            <w:tcBorders/>
            <w:vAlign w:val="center"/>
          </w:tcPr>
          <w:p>
            <w:pPr>
              <w:pStyle w:val="Normal"/>
              <w:spacing w:lineRule="auto" w:line="252" w:before="0" w:after="100"/>
              <w:rPr>
                <w:sz w:val="22"/>
              </w:rPr>
            </w:pPr>
            <w:r>
              <w:rPr>
                <w:sz w:val="22"/>
              </w:rPr>
              <w:t>0.8737</w:t>
            </w:r>
          </w:p>
        </w:tc>
        <w:tc>
          <w:tcPr>
            <w:tcW w:w="1088" w:type="dxa"/>
            <w:tcBorders/>
            <w:vAlign w:val="center"/>
          </w:tcPr>
          <w:p>
            <w:pPr>
              <w:pStyle w:val="Normal"/>
              <w:spacing w:lineRule="auto" w:line="252" w:before="0" w:after="100"/>
              <w:rPr>
                <w:sz w:val="22"/>
              </w:rPr>
            </w:pPr>
            <w:r>
              <w:rPr>
                <w:sz w:val="22"/>
              </w:rPr>
              <w:t>0.7009</w:t>
            </w:r>
          </w:p>
        </w:tc>
        <w:tc>
          <w:tcPr>
            <w:tcW w:w="1671" w:type="dxa"/>
            <w:tcBorders/>
            <w:vAlign w:val="center"/>
          </w:tcPr>
          <w:p>
            <w:pPr>
              <w:pStyle w:val="Normal"/>
              <w:spacing w:lineRule="auto" w:line="252" w:before="0" w:after="100"/>
              <w:rPr>
                <w:sz w:val="22"/>
              </w:rPr>
            </w:pPr>
            <w:r>
              <w:rPr>
                <w:sz w:val="22"/>
              </w:rPr>
              <w:t>0.7434</w:t>
            </w:r>
          </w:p>
        </w:tc>
      </w:tr>
    </w:tbl>
    <w:p>
      <w:pPr>
        <w:pStyle w:val="Normal"/>
        <w:spacing w:lineRule="auto" w:line="252" w:before="0" w:after="100"/>
        <w:rPr>
          <w:sz w:val="22"/>
        </w:rPr>
      </w:pPr>
      <w:r>
        <w:rPr>
          <w:sz w:val="22"/>
        </w:rPr>
        <w:t>These results show that the leakage-safe external-mapped tuning pipeline was successfully implemented, but it did not improve retrieval performance. The tuned reranker partially recovered the ranking drop observed with the tuned embedding, but the fully tuned external-mapped retrieval stack still remained below the zero-shot Qwen3 retrieval system.</w:t>
      </w:r>
    </w:p>
    <w:p>
      <w:pPr>
        <w:pStyle w:val="Heading1"/>
        <w:rPr>
          <w:sz w:val="22"/>
          <w:szCs w:val="22"/>
        </w:rPr>
      </w:pPr>
      <w:r>
        <w:rPr>
          <w:rFonts w:eastAsia="Arial" w:ascii="Arial" w:hAnsi="Arial"/>
          <w:sz w:val="22"/>
          <w:szCs w:val="22"/>
        </w:rPr>
        <w:t>8. Generation Ablation Process</w:t>
      </w:r>
    </w:p>
    <w:p>
      <w:pPr>
        <w:pStyle w:val="Normal"/>
        <w:spacing w:lineRule="auto" w:line="252" w:before="0" w:after="100"/>
        <w:rPr>
          <w:sz w:val="22"/>
          <w:szCs w:val="22"/>
        </w:rPr>
      </w:pPr>
      <w:r>
        <w:rPr>
          <w:rFonts w:eastAsia="Arial"/>
          <w:sz w:val="22"/>
          <w:szCs w:val="22"/>
        </w:rPr>
        <w:t>After the best retrieval system was determined, the answer generation side was also evaluated separately. At this stage, Gemma-2-2B Base RAG, Gemma-2-2B LoRA RAG, Qwen3-32B Base RAG, and Qwen3-32B QLoRA RAG systems were compared.</w:t>
      </w:r>
    </w:p>
    <w:p>
      <w:pPr>
        <w:pStyle w:val="Normal"/>
        <w:spacing w:lineRule="auto" w:line="252" w:before="0" w:after="100"/>
        <w:rPr>
          <w:sz w:val="22"/>
          <w:szCs w:val="22"/>
        </w:rPr>
      </w:pPr>
      <w:r>
        <w:rPr>
          <w:rFonts w:eastAsia="Arial"/>
          <w:sz w:val="22"/>
          <w:szCs w:val="22"/>
        </w:rPr>
        <w:t>The generation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exact_match</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token_f1</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rouge_l</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retrieval_gold_available</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citation_present</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citation_gold_match</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grounded_citation_score</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unsupported_or_missing_citation</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0.128</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0.289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0.574</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0.109</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0.563</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 RAG + best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Gemma-2-2B Base RAG system was able to generate answers, but remained limited in terms of citation and grounding. After Gemma LoRA fine-tuning, although the citation_present metric increased, token_f1, rouge_l, citation_gold_match, and grounded_citation_score decreased. Therefore, Gemma fine-tuning did not improve overall quality in this setup.</w:t>
      </w:r>
    </w:p>
    <w:p>
      <w:pPr>
        <w:pStyle w:val="Normal"/>
        <w:spacing w:lineRule="auto" w:line="252" w:before="0" w:after="100"/>
        <w:rPr>
          <w:sz w:val="22"/>
          <w:szCs w:val="22"/>
        </w:rPr>
      </w:pPr>
      <w:r>
        <w:rPr>
          <w:rFonts w:eastAsia="Arial"/>
          <w:sz w:val="22"/>
          <w:szCs w:val="22"/>
        </w:rPr>
        <w:t>The Qwen3-32B Base RAG + best retrieval system produced the safest results in terms of citation and grounding. In this system, citation_present reached 0.9842, citation_gold_match reached 0.8211, and grounded_citation_score reached 0.8053.</w:t>
      </w:r>
    </w:p>
    <w:p>
      <w:pPr>
        <w:pStyle w:val="Normal"/>
        <w:spacing w:lineRule="auto" w:line="252" w:before="0" w:after="100"/>
        <w:rPr>
          <w:sz w:val="22"/>
          <w:szCs w:val="22"/>
        </w:rPr>
      </w:pPr>
      <w:r>
        <w:rPr>
          <w:rFonts w:eastAsia="Arial"/>
          <w:sz w:val="22"/>
          <w:szCs w:val="22"/>
        </w:rPr>
        <w:t>The Qwen3-32B QLoRA system increased the token_f1 and rouge_l metrics. This shows that fine-tuning was useful in terms of answer-overlap. However, the same system remained behind the base model in terms of citation_gold_match and grounded_citation_score. Therefore, although the QLoRA model produced higher lexical overlap, it showed a riskier profile in terms of citation-grounding.</w:t>
      </w:r>
    </w:p>
    <w:p>
      <w:pPr>
        <w:pStyle w:val="Heading1"/>
        <w:rPr>
          <w:sz w:val="22"/>
          <w:szCs w:val="22"/>
        </w:rPr>
      </w:pPr>
      <w:r>
        <w:rPr>
          <w:rFonts w:eastAsia="Arial" w:ascii="Arial" w:hAnsi="Arial"/>
          <w:sz w:val="22"/>
          <w:szCs w:val="22"/>
        </w:rPr>
        <w:t>9. Comparison of Qwen3-32B Base RAG and QLoRA RAG</w:t>
      </w:r>
    </w:p>
    <w:p>
      <w:pPr>
        <w:pStyle w:val="Normal"/>
        <w:spacing w:lineRule="auto" w:line="252" w:before="0" w:after="100"/>
        <w:rPr>
          <w:sz w:val="22"/>
          <w:szCs w:val="22"/>
        </w:rPr>
      </w:pPr>
      <w:r>
        <w:rPr>
          <w:rFonts w:eastAsia="Arial"/>
          <w:sz w:val="22"/>
          <w:szCs w:val="22"/>
        </w:rPr>
        <w:t>The Qwen3-32B Base RAG and Qwen3-32B QLoRA RAG systems were compared on the same retrieval stack. Thus, the effect of fine-tuning was observed more clearly.</w:t>
      </w:r>
    </w:p>
    <w:tbl>
      <w:tblPr>
        <w:tblStyle w:val="TableGrid"/>
        <w:tblW w:w="1524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812"/>
        <w:gridCol w:w="3812"/>
        <w:gridCol w:w="3812"/>
        <w:gridCol w:w="3812"/>
      </w:tblGrid>
      <w:tr>
        <w:trPr/>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Evaluation</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 change</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retrieval_gold_available</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Same because the same retrieval stack was used</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citation_present</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citation_gold_match</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unsupported_or_missing_citation</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safer</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According to these results, QLoRA fine-tuning increased the similarity of the answers to the gold answer at the word and expression level. In contrast, citation accuracy and grounding reliability decreased compared to the base model.</w:t>
      </w:r>
    </w:p>
    <w:p>
      <w:pPr>
        <w:pStyle w:val="Normal"/>
        <w:spacing w:lineRule="auto" w:line="252" w:before="0" w:after="100"/>
        <w:rPr>
          <w:sz w:val="22"/>
          <w:szCs w:val="22"/>
        </w:rPr>
      </w:pPr>
      <w:r>
        <w:rPr>
          <w:rFonts w:eastAsia="Arial"/>
          <w:sz w:val="22"/>
          <w:szCs w:val="22"/>
        </w:rPr>
        <w:t>In the legal domain, it is not sufficient for the answer to only appear similar. The answer must be based on the correct source and be reliable in terms of citation. Therefore, Qwen3-32B Base was preferred as the final generation model.</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9.1 Semantic Similarity Evaluation</w:t>
      </w:r>
    </w:p>
    <w:p>
      <w:pPr>
        <w:pStyle w:val="Normal"/>
        <w:spacing w:lineRule="auto" w:line="252" w:before="0" w:after="100"/>
        <w:rPr>
          <w:sz w:val="22"/>
        </w:rPr>
      </w:pPr>
      <w:r>
        <w:rPr>
          <w:sz w:val="22"/>
        </w:rPr>
        <w:t>In addition to lexical-overlap metrics such as Token F1 and ROUGE-L, answer-level semantic similarity was computed between the generated answer and the gold answer. This was done because legal answers may express the same meaning with different wording. Therefore, lexical overlap alone may underestimate answer quality.</w:t>
      </w:r>
    </w:p>
    <w:p>
      <w:pPr>
        <w:pStyle w:val="Normal"/>
        <w:spacing w:lineRule="auto" w:line="252" w:before="0" w:after="100"/>
        <w:rPr/>
      </w:pPr>
      <w:r>
        <w:rPr>
          <w:sz w:val="22"/>
        </w:rPr>
        <w:t xml:space="preserve">Semantic similarity was computed using </w:t>
      </w:r>
      <w:r>
        <w:rPr>
          <w:rStyle w:val="KaynakMetinuser"/>
          <w:sz w:val="22"/>
        </w:rPr>
        <w:t>Qwen/Qwen3-Embedding-8B</w:t>
      </w:r>
      <w:r>
        <w:rPr>
          <w:sz w:val="22"/>
        </w:rPr>
        <w:t xml:space="preserve">. For each question, the </w:t>
      </w:r>
      <w:r>
        <w:rPr>
          <w:rStyle w:val="KaynakMetinuser"/>
          <w:sz w:val="22"/>
        </w:rPr>
        <w:t>gold_answer</w:t>
      </w:r>
      <w:r>
        <w:rPr>
          <w:sz w:val="22"/>
        </w:rPr>
        <w:t xml:space="preserve"> and </w:t>
      </w:r>
      <w:r>
        <w:rPr>
          <w:rStyle w:val="KaynakMetinuser"/>
          <w:sz w:val="22"/>
        </w:rPr>
        <w:t>generated_answer</w:t>
      </w:r>
      <w:r>
        <w:rPr>
          <w:sz w:val="22"/>
        </w:rPr>
        <w:t xml:space="preserve"> were embedded separately, and cosine similarity was calculated between the two embeddings.</w:t>
      </w:r>
    </w:p>
    <w:tbl>
      <w:tblPr>
        <w:tblW w:w="7097" w:type="dxa"/>
        <w:jc w:val="start"/>
        <w:tblInd w:w="28" w:type="dxa"/>
        <w:tblLayout w:type="fixed"/>
        <w:tblCellMar>
          <w:top w:w="28" w:type="dxa"/>
          <w:start w:w="28" w:type="dxa"/>
          <w:bottom w:w="28" w:type="dxa"/>
          <w:end w:w="28" w:type="dxa"/>
        </w:tblCellMar>
      </w:tblPr>
      <w:tblGrid>
        <w:gridCol w:w="1491"/>
        <w:gridCol w:w="2352"/>
        <w:gridCol w:w="2522"/>
        <w:gridCol w:w="732"/>
      </w:tblGrid>
      <w:tr>
        <w:trPr>
          <w:tblHeader w:val="true"/>
        </w:trPr>
        <w:tc>
          <w:tcPr>
            <w:tcW w:w="1491" w:type="dxa"/>
            <w:tcBorders/>
            <w:vAlign w:val="center"/>
          </w:tcPr>
          <w:p>
            <w:pPr>
              <w:pStyle w:val="Normal"/>
              <w:spacing w:lineRule="auto" w:line="252" w:before="0" w:after="100"/>
              <w:rPr>
                <w:b/>
                <w:bCs/>
                <w:sz w:val="22"/>
              </w:rPr>
            </w:pPr>
            <w:r>
              <w:rPr>
                <w:b/>
                <w:bCs/>
                <w:sz w:val="22"/>
              </w:rPr>
              <w:t>System</w:t>
            </w:r>
          </w:p>
        </w:tc>
        <w:tc>
          <w:tcPr>
            <w:tcW w:w="2352" w:type="dxa"/>
            <w:tcBorders/>
            <w:vAlign w:val="center"/>
          </w:tcPr>
          <w:p>
            <w:pPr>
              <w:pStyle w:val="Normal"/>
              <w:spacing w:lineRule="auto" w:line="252" w:before="0" w:after="100"/>
              <w:rPr>
                <w:b/>
                <w:bCs/>
                <w:sz w:val="22"/>
              </w:rPr>
            </w:pPr>
            <w:r>
              <w:rPr>
                <w:b/>
                <w:bCs/>
                <w:sz w:val="22"/>
              </w:rPr>
              <w:t>Mean semantic similarity</w:t>
            </w:r>
          </w:p>
        </w:tc>
        <w:tc>
          <w:tcPr>
            <w:tcW w:w="2522" w:type="dxa"/>
            <w:tcBorders/>
            <w:vAlign w:val="center"/>
          </w:tcPr>
          <w:p>
            <w:pPr>
              <w:pStyle w:val="Normal"/>
              <w:spacing w:lineRule="auto" w:line="252" w:before="0" w:after="100"/>
              <w:rPr>
                <w:b/>
                <w:bCs/>
                <w:sz w:val="22"/>
              </w:rPr>
            </w:pPr>
            <w:r>
              <w:rPr>
                <w:b/>
                <w:bCs/>
                <w:sz w:val="22"/>
              </w:rPr>
              <w:t>Median semantic similarity</w:t>
            </w:r>
          </w:p>
        </w:tc>
        <w:tc>
          <w:tcPr>
            <w:tcW w:w="732" w:type="dxa"/>
            <w:tcBorders/>
            <w:vAlign w:val="center"/>
          </w:tcPr>
          <w:p>
            <w:pPr>
              <w:pStyle w:val="Normal"/>
              <w:spacing w:lineRule="auto" w:line="252" w:before="0" w:after="100"/>
              <w:rPr>
                <w:b/>
                <w:bCs/>
                <w:sz w:val="22"/>
              </w:rPr>
            </w:pPr>
            <w:r>
              <w:rPr>
                <w:b/>
                <w:bCs/>
                <w:sz w:val="22"/>
              </w:rPr>
              <w:t>Std</w:t>
            </w:r>
          </w:p>
        </w:tc>
      </w:tr>
      <w:tr>
        <w:trPr/>
        <w:tc>
          <w:tcPr>
            <w:tcW w:w="1491" w:type="dxa"/>
            <w:tcBorders/>
            <w:vAlign w:val="center"/>
          </w:tcPr>
          <w:p>
            <w:pPr>
              <w:pStyle w:val="Normal"/>
              <w:spacing w:lineRule="auto" w:line="252" w:before="0" w:after="100"/>
              <w:rPr>
                <w:sz w:val="22"/>
              </w:rPr>
            </w:pPr>
            <w:r>
              <w:rPr>
                <w:sz w:val="22"/>
              </w:rPr>
              <w:t>Base RAG</w:t>
            </w:r>
          </w:p>
        </w:tc>
        <w:tc>
          <w:tcPr>
            <w:tcW w:w="2352" w:type="dxa"/>
            <w:tcBorders/>
            <w:vAlign w:val="center"/>
          </w:tcPr>
          <w:p>
            <w:pPr>
              <w:pStyle w:val="Normal"/>
              <w:spacing w:lineRule="auto" w:line="252" w:before="0" w:after="100"/>
              <w:rPr>
                <w:sz w:val="22"/>
              </w:rPr>
            </w:pPr>
            <w:r>
              <w:rPr>
                <w:sz w:val="22"/>
              </w:rPr>
              <w:t>0.7890</w:t>
            </w:r>
          </w:p>
        </w:tc>
        <w:tc>
          <w:tcPr>
            <w:tcW w:w="2522" w:type="dxa"/>
            <w:tcBorders/>
            <w:vAlign w:val="center"/>
          </w:tcPr>
          <w:p>
            <w:pPr>
              <w:pStyle w:val="Normal"/>
              <w:spacing w:lineRule="auto" w:line="252" w:before="0" w:after="100"/>
              <w:rPr>
                <w:sz w:val="22"/>
              </w:rPr>
            </w:pPr>
            <w:r>
              <w:rPr>
                <w:sz w:val="22"/>
              </w:rPr>
              <w:t>0.8064</w:t>
            </w:r>
          </w:p>
        </w:tc>
        <w:tc>
          <w:tcPr>
            <w:tcW w:w="732" w:type="dxa"/>
            <w:tcBorders/>
            <w:vAlign w:val="center"/>
          </w:tcPr>
          <w:p>
            <w:pPr>
              <w:pStyle w:val="Normal"/>
              <w:spacing w:lineRule="auto" w:line="252" w:before="0" w:after="100"/>
              <w:rPr>
                <w:sz w:val="22"/>
              </w:rPr>
            </w:pPr>
            <w:r>
              <w:rPr>
                <w:sz w:val="22"/>
              </w:rPr>
              <w:t>0.0835</w:t>
            </w:r>
          </w:p>
        </w:tc>
      </w:tr>
      <w:tr>
        <w:trPr/>
        <w:tc>
          <w:tcPr>
            <w:tcW w:w="1491" w:type="dxa"/>
            <w:tcBorders/>
            <w:vAlign w:val="center"/>
          </w:tcPr>
          <w:p>
            <w:pPr>
              <w:pStyle w:val="Normal"/>
              <w:spacing w:lineRule="auto" w:line="252" w:before="0" w:after="100"/>
              <w:rPr>
                <w:sz w:val="22"/>
              </w:rPr>
            </w:pPr>
            <w:r>
              <w:rPr>
                <w:sz w:val="22"/>
              </w:rPr>
              <w:t>Fine-tuned RAG</w:t>
            </w:r>
          </w:p>
        </w:tc>
        <w:tc>
          <w:tcPr>
            <w:tcW w:w="2352" w:type="dxa"/>
            <w:tcBorders/>
            <w:vAlign w:val="center"/>
          </w:tcPr>
          <w:p>
            <w:pPr>
              <w:pStyle w:val="Normal"/>
              <w:spacing w:lineRule="auto" w:line="252" w:before="0" w:after="100"/>
              <w:rPr>
                <w:sz w:val="22"/>
              </w:rPr>
            </w:pPr>
            <w:r>
              <w:rPr>
                <w:sz w:val="22"/>
              </w:rPr>
              <w:t>0.7908</w:t>
            </w:r>
          </w:p>
        </w:tc>
        <w:tc>
          <w:tcPr>
            <w:tcW w:w="2522" w:type="dxa"/>
            <w:tcBorders/>
            <w:vAlign w:val="center"/>
          </w:tcPr>
          <w:p>
            <w:pPr>
              <w:pStyle w:val="Normal"/>
              <w:spacing w:lineRule="auto" w:line="252" w:before="0" w:after="100"/>
              <w:rPr>
                <w:sz w:val="22"/>
              </w:rPr>
            </w:pPr>
            <w:r>
              <w:rPr>
                <w:sz w:val="22"/>
              </w:rPr>
              <w:t>0.8072</w:t>
            </w:r>
          </w:p>
        </w:tc>
        <w:tc>
          <w:tcPr>
            <w:tcW w:w="732" w:type="dxa"/>
            <w:tcBorders/>
            <w:vAlign w:val="center"/>
          </w:tcPr>
          <w:p>
            <w:pPr>
              <w:pStyle w:val="Normal"/>
              <w:spacing w:lineRule="auto" w:line="252" w:before="0" w:after="100"/>
              <w:rPr>
                <w:sz w:val="22"/>
              </w:rPr>
            </w:pPr>
            <w:r>
              <w:rPr>
                <w:sz w:val="22"/>
              </w:rPr>
              <w:t>0.0911</w:t>
            </w:r>
          </w:p>
        </w:tc>
      </w:tr>
    </w:tbl>
    <w:p>
      <w:pPr>
        <w:pStyle w:val="Normal"/>
        <w:spacing w:lineRule="auto" w:line="252" w:before="0" w:after="100"/>
        <w:rPr>
          <w:sz w:val="22"/>
        </w:rPr>
      </w:pPr>
      <w:r>
        <w:rPr>
          <w:sz w:val="22"/>
        </w:rPr>
        <w:t>The fine-tuned RAG system achieved a small positive gain in semantic similarity. Although the improvement is modest, it is consistent with the larger improvements observed in Token F1 and ROUGE-L. This suggests that QLoRA fine-tuning made the generated answers slightly closer to the gold answers not only at the lexical level, but also at the meaning level.From a user-perception perspective, semantic similarity is also important because low lexical-overlap scores can make an answer appear weaker than it actually is. In legal QA, a generated answer may use different wording from the gold answer while still preserving the same legal meaning. If only Token F1 or ROUGE-L is considered, such answers may be interpreted as low quality even when they are legally meaningful and conceptually correct.</w:t>
      </w:r>
    </w:p>
    <w:p>
      <w:pPr>
        <w:pStyle w:val="Normal"/>
        <w:spacing w:lineRule="auto" w:line="252" w:before="0" w:after="100"/>
        <w:rPr>
          <w:sz w:val="22"/>
        </w:rPr>
      </w:pPr>
      <w:r>
        <w:rPr>
          <w:sz w:val="22"/>
        </w:rPr>
        <w:t xml:space="preserve">Therefore, semantic similarity was used as a complementary metric to reduce this misleading interpretation. It provides an additional signal about whether the generated answer is close to the expected answer at the meaning level, which is important for perceived answer quality and user trust. However, semantic similarity was not interpreted alone. Since a semantically plausible answer can still be legally unsupported, it was evaluated together with citation accuracy, grounded citation score, and hallucination-proxy metrics. </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9.2 Interpretation of Token F1 and ROUGE-L</w:t>
      </w:r>
    </w:p>
    <w:p>
      <w:pPr>
        <w:pStyle w:val="Normal"/>
        <w:spacing w:lineRule="auto" w:line="252" w:before="0" w:after="100"/>
        <w:rPr>
          <w:sz w:val="22"/>
        </w:rPr>
      </w:pPr>
      <w:r>
        <w:rPr>
          <w:sz w:val="22"/>
        </w:rPr>
        <w:t>The Token F1 and ROUGE-L scores remain relatively low in absolute terms because the gold answers and generated RAG answers have different styles. The gold answers are short reference answers, while the generated outputs are intentionally longer, structured, and citation-aware legal explanations.</w:t>
      </w:r>
    </w:p>
    <w:p>
      <w:pPr>
        <w:pStyle w:val="Normal"/>
        <w:spacing w:lineRule="auto" w:line="252" w:before="0" w:after="100"/>
        <w:rPr>
          <w:sz w:val="22"/>
        </w:rPr>
      </w:pPr>
      <w:r>
        <w:rPr>
          <w:sz w:val="22"/>
        </w:rPr>
        <w:t>For example, the RAG answer often includes a short answer, a detailed explanation, supporting legal articles, and limitations. These additional sections may be legally useful, but they are penalized by lexical-overlap metrics because they introduce tokens that are not present in the short gold answer.</w:t>
      </w:r>
    </w:p>
    <w:p>
      <w:pPr>
        <w:pStyle w:val="Normal"/>
        <w:spacing w:lineRule="auto" w:line="252" w:before="0" w:after="100"/>
        <w:rPr/>
      </w:pPr>
      <w:r>
        <w:rPr>
          <w:sz w:val="22"/>
        </w:rPr>
        <w:t>Therefore, Token F1 and ROUGE-L were not interpreted alone. They were evaluated together with semantic similarity, citation accuracy, grounded citation score, and hallucination-proxy metrics. From a user-safety perspective, this distinction is important. A longer and well-structured legal answer may increase the user’s perceived trust in the system because it appears more complete and authoritative. However, in legal QA, this can also create a risk of false confidence if the answer is not correctly grounded in legal sources. Therefore, answer similarity metrics were interpreted together with citation and grounding metrics to ensure that fluent or convincing answers were not treated as reliable unless they were also source-supported.</w:t>
      </w:r>
    </w:p>
    <w:p>
      <w:pPr>
        <w:pStyle w:val="Normal"/>
        <w:spacing w:lineRule="auto" w:line="252" w:before="0" w:after="100"/>
        <w:rPr>
          <w:sz w:val="22"/>
        </w:rPr>
      </w:pPr>
      <w:r>
        <w:rPr>
          <w:sz w:val="22"/>
        </w:rPr>
      </w:r>
    </w:p>
    <w:tbl>
      <w:tblPr>
        <w:tblW w:w="10553" w:type="dxa"/>
        <w:jc w:val="start"/>
        <w:tblInd w:w="28" w:type="dxa"/>
        <w:tblLayout w:type="fixed"/>
        <w:tblCellMar>
          <w:top w:w="28" w:type="dxa"/>
          <w:start w:w="28" w:type="dxa"/>
          <w:bottom w:w="28" w:type="dxa"/>
          <w:end w:w="28" w:type="dxa"/>
        </w:tblCellMar>
      </w:tblPr>
      <w:tblGrid>
        <w:gridCol w:w="1703"/>
        <w:gridCol w:w="5290"/>
        <w:gridCol w:w="3560"/>
      </w:tblGrid>
      <w:tr>
        <w:trPr>
          <w:tblHeader w:val="true"/>
        </w:trPr>
        <w:tc>
          <w:tcPr>
            <w:tcW w:w="1703" w:type="dxa"/>
            <w:tcBorders/>
            <w:vAlign w:val="center"/>
          </w:tcPr>
          <w:p>
            <w:pPr>
              <w:pStyle w:val="Normal"/>
              <w:spacing w:lineRule="auto" w:line="252" w:before="0" w:after="100"/>
              <w:rPr>
                <w:b/>
                <w:bCs/>
                <w:sz w:val="22"/>
              </w:rPr>
            </w:pPr>
            <w:r>
              <w:rPr>
                <w:b/>
                <w:bCs/>
                <w:sz w:val="22"/>
              </w:rPr>
              <w:t>Metric type</w:t>
            </w:r>
          </w:p>
        </w:tc>
        <w:tc>
          <w:tcPr>
            <w:tcW w:w="5290" w:type="dxa"/>
            <w:tcBorders/>
            <w:vAlign w:val="center"/>
          </w:tcPr>
          <w:p>
            <w:pPr>
              <w:pStyle w:val="Normal"/>
              <w:spacing w:lineRule="auto" w:line="252" w:before="0" w:after="100"/>
              <w:rPr>
                <w:b/>
                <w:bCs/>
                <w:sz w:val="22"/>
              </w:rPr>
            </w:pPr>
            <w:r>
              <w:rPr>
                <w:b/>
                <w:bCs/>
                <w:sz w:val="22"/>
              </w:rPr>
              <w:t>What it measures</w:t>
            </w:r>
          </w:p>
        </w:tc>
        <w:tc>
          <w:tcPr>
            <w:tcW w:w="3560" w:type="dxa"/>
            <w:tcBorders/>
            <w:vAlign w:val="center"/>
          </w:tcPr>
          <w:p>
            <w:pPr>
              <w:pStyle w:val="Normal"/>
              <w:spacing w:lineRule="auto" w:line="252" w:before="0" w:after="100"/>
              <w:rPr>
                <w:b/>
                <w:bCs/>
                <w:sz w:val="22"/>
              </w:rPr>
            </w:pPr>
            <w:r>
              <w:rPr>
                <w:b/>
                <w:bCs/>
                <w:sz w:val="22"/>
              </w:rPr>
              <w:t>Limitation</w:t>
            </w:r>
          </w:p>
        </w:tc>
      </w:tr>
      <w:tr>
        <w:trPr/>
        <w:tc>
          <w:tcPr>
            <w:tcW w:w="1703" w:type="dxa"/>
            <w:tcBorders/>
            <w:vAlign w:val="center"/>
          </w:tcPr>
          <w:p>
            <w:pPr>
              <w:pStyle w:val="Normal"/>
              <w:spacing w:lineRule="auto" w:line="252" w:before="0" w:after="100"/>
              <w:rPr>
                <w:sz w:val="22"/>
              </w:rPr>
            </w:pPr>
            <w:r>
              <w:rPr>
                <w:sz w:val="22"/>
              </w:rPr>
              <w:t>Token F1</w:t>
            </w:r>
          </w:p>
        </w:tc>
        <w:tc>
          <w:tcPr>
            <w:tcW w:w="5290" w:type="dxa"/>
            <w:tcBorders/>
            <w:vAlign w:val="center"/>
          </w:tcPr>
          <w:p>
            <w:pPr>
              <w:pStyle w:val="Normal"/>
              <w:spacing w:lineRule="auto" w:line="252" w:before="0" w:after="100"/>
              <w:rPr>
                <w:sz w:val="22"/>
              </w:rPr>
            </w:pPr>
            <w:r>
              <w:rPr>
                <w:sz w:val="22"/>
              </w:rPr>
              <w:t>Word-level overlap between generated and gold answers</w:t>
            </w:r>
          </w:p>
        </w:tc>
        <w:tc>
          <w:tcPr>
            <w:tcW w:w="3560" w:type="dxa"/>
            <w:tcBorders/>
            <w:vAlign w:val="center"/>
          </w:tcPr>
          <w:p>
            <w:pPr>
              <w:pStyle w:val="Normal"/>
              <w:spacing w:lineRule="auto" w:line="252" w:before="0" w:after="100"/>
              <w:rPr>
                <w:sz w:val="22"/>
              </w:rPr>
            </w:pPr>
            <w:r>
              <w:rPr>
                <w:sz w:val="22"/>
              </w:rPr>
              <w:t>Penalizes longer explanatory answers</w:t>
            </w:r>
          </w:p>
        </w:tc>
      </w:tr>
      <w:tr>
        <w:trPr/>
        <w:tc>
          <w:tcPr>
            <w:tcW w:w="1703" w:type="dxa"/>
            <w:tcBorders/>
            <w:vAlign w:val="center"/>
          </w:tcPr>
          <w:p>
            <w:pPr>
              <w:pStyle w:val="Normal"/>
              <w:spacing w:lineRule="auto" w:line="252" w:before="0" w:after="100"/>
              <w:rPr>
                <w:sz w:val="22"/>
              </w:rPr>
            </w:pPr>
            <w:r>
              <w:rPr>
                <w:sz w:val="22"/>
              </w:rPr>
              <w:t>ROUGE-L</w:t>
            </w:r>
          </w:p>
        </w:tc>
        <w:tc>
          <w:tcPr>
            <w:tcW w:w="5290" w:type="dxa"/>
            <w:tcBorders/>
            <w:vAlign w:val="center"/>
          </w:tcPr>
          <w:p>
            <w:pPr>
              <w:pStyle w:val="Normal"/>
              <w:spacing w:lineRule="auto" w:line="252" w:before="0" w:after="100"/>
              <w:rPr>
                <w:sz w:val="22"/>
              </w:rPr>
            </w:pPr>
            <w:r>
              <w:rPr>
                <w:sz w:val="22"/>
              </w:rPr>
              <w:t>Longest common subsequence overlap</w:t>
            </w:r>
          </w:p>
        </w:tc>
        <w:tc>
          <w:tcPr>
            <w:tcW w:w="3560" w:type="dxa"/>
            <w:tcBorders/>
            <w:vAlign w:val="center"/>
          </w:tcPr>
          <w:p>
            <w:pPr>
              <w:pStyle w:val="Normal"/>
              <w:spacing w:lineRule="auto" w:line="252" w:before="0" w:after="100"/>
              <w:rPr>
                <w:sz w:val="22"/>
              </w:rPr>
            </w:pPr>
            <w:r>
              <w:rPr>
                <w:sz w:val="22"/>
              </w:rPr>
              <w:t>Sensitive to wording and word order</w:t>
            </w:r>
          </w:p>
        </w:tc>
      </w:tr>
      <w:tr>
        <w:trPr/>
        <w:tc>
          <w:tcPr>
            <w:tcW w:w="1703" w:type="dxa"/>
            <w:tcBorders/>
            <w:vAlign w:val="center"/>
          </w:tcPr>
          <w:p>
            <w:pPr>
              <w:pStyle w:val="Normal"/>
              <w:spacing w:lineRule="auto" w:line="252" w:before="0" w:after="100"/>
              <w:rPr>
                <w:sz w:val="22"/>
              </w:rPr>
            </w:pPr>
            <w:r>
              <w:rPr>
                <w:sz w:val="22"/>
              </w:rPr>
              <w:t>Semantic similarity</w:t>
            </w:r>
          </w:p>
        </w:tc>
        <w:tc>
          <w:tcPr>
            <w:tcW w:w="5290" w:type="dxa"/>
            <w:tcBorders/>
            <w:vAlign w:val="center"/>
          </w:tcPr>
          <w:p>
            <w:pPr>
              <w:pStyle w:val="Normal"/>
              <w:spacing w:lineRule="auto" w:line="252" w:before="0" w:after="100"/>
              <w:rPr>
                <w:sz w:val="22"/>
              </w:rPr>
            </w:pPr>
            <w:r>
              <w:rPr>
                <w:sz w:val="22"/>
              </w:rPr>
              <w:t>Meaning-level similarity between generated and gold answers</w:t>
            </w:r>
          </w:p>
        </w:tc>
        <w:tc>
          <w:tcPr>
            <w:tcW w:w="3560" w:type="dxa"/>
            <w:tcBorders/>
            <w:vAlign w:val="center"/>
          </w:tcPr>
          <w:p>
            <w:pPr>
              <w:pStyle w:val="Normal"/>
              <w:spacing w:lineRule="auto" w:line="252" w:before="0" w:after="100"/>
              <w:rPr>
                <w:sz w:val="22"/>
              </w:rPr>
            </w:pPr>
            <w:r>
              <w:rPr>
                <w:sz w:val="22"/>
              </w:rPr>
              <w:t>Does not verify legal citation correctness</w:t>
            </w:r>
          </w:p>
        </w:tc>
      </w:tr>
      <w:tr>
        <w:trPr/>
        <w:tc>
          <w:tcPr>
            <w:tcW w:w="1703" w:type="dxa"/>
            <w:tcBorders/>
            <w:vAlign w:val="center"/>
          </w:tcPr>
          <w:p>
            <w:pPr>
              <w:pStyle w:val="Normal"/>
              <w:spacing w:lineRule="auto" w:line="252" w:before="0" w:after="100"/>
              <w:rPr>
                <w:sz w:val="22"/>
              </w:rPr>
            </w:pPr>
            <w:r>
              <w:rPr>
                <w:sz w:val="22"/>
              </w:rPr>
              <w:t>Citation metrics</w:t>
            </w:r>
          </w:p>
        </w:tc>
        <w:tc>
          <w:tcPr>
            <w:tcW w:w="5290" w:type="dxa"/>
            <w:tcBorders/>
            <w:vAlign w:val="center"/>
          </w:tcPr>
          <w:p>
            <w:pPr>
              <w:pStyle w:val="Normal"/>
              <w:spacing w:lineRule="auto" w:line="252" w:before="0" w:after="100"/>
              <w:rPr>
                <w:sz w:val="22"/>
              </w:rPr>
            </w:pPr>
            <w:r>
              <w:rPr>
                <w:sz w:val="22"/>
              </w:rPr>
              <w:t>Whether the answer cites the correct law/article</w:t>
            </w:r>
          </w:p>
        </w:tc>
        <w:tc>
          <w:tcPr>
            <w:tcW w:w="3560" w:type="dxa"/>
            <w:tcBorders/>
            <w:vAlign w:val="center"/>
          </w:tcPr>
          <w:p>
            <w:pPr>
              <w:pStyle w:val="Normal"/>
              <w:spacing w:lineRule="auto" w:line="252" w:before="0" w:after="100"/>
              <w:rPr>
                <w:sz w:val="22"/>
              </w:rPr>
            </w:pPr>
            <w:r>
              <w:rPr>
                <w:sz w:val="22"/>
              </w:rPr>
              <w:t>Does not measure answer fluency</w:t>
            </w:r>
          </w:p>
        </w:tc>
      </w:tr>
      <w:tr>
        <w:trPr/>
        <w:tc>
          <w:tcPr>
            <w:tcW w:w="1703" w:type="dxa"/>
            <w:tcBorders/>
            <w:vAlign w:val="center"/>
          </w:tcPr>
          <w:p>
            <w:pPr>
              <w:pStyle w:val="Normal"/>
              <w:spacing w:lineRule="auto" w:line="252" w:before="0" w:after="100"/>
              <w:rPr>
                <w:sz w:val="22"/>
              </w:rPr>
            </w:pPr>
            <w:r>
              <w:rPr>
                <w:sz w:val="22"/>
              </w:rPr>
              <w:t>Grounding metrics</w:t>
            </w:r>
          </w:p>
        </w:tc>
        <w:tc>
          <w:tcPr>
            <w:tcW w:w="5290" w:type="dxa"/>
            <w:tcBorders/>
            <w:vAlign w:val="center"/>
          </w:tcPr>
          <w:p>
            <w:pPr>
              <w:pStyle w:val="Normal"/>
              <w:spacing w:lineRule="auto" w:line="252" w:before="0" w:after="100"/>
              <w:rPr>
                <w:sz w:val="22"/>
              </w:rPr>
            </w:pPr>
            <w:r>
              <w:rPr>
                <w:sz w:val="22"/>
              </w:rPr>
              <w:t>Whether the answer is supported by retrieved sources</w:t>
            </w:r>
          </w:p>
        </w:tc>
        <w:tc>
          <w:tcPr>
            <w:tcW w:w="3560" w:type="dxa"/>
            <w:tcBorders/>
            <w:vAlign w:val="center"/>
          </w:tcPr>
          <w:p>
            <w:pPr>
              <w:pStyle w:val="Normal"/>
              <w:spacing w:lineRule="auto" w:line="252" w:before="0" w:after="100"/>
              <w:rPr>
                <w:sz w:val="22"/>
              </w:rPr>
            </w:pPr>
            <w:r>
              <w:rPr>
                <w:sz w:val="22"/>
              </w:rPr>
              <w:t>Depends strongly on retrieval quality</w:t>
            </w:r>
          </w:p>
        </w:tc>
      </w:tr>
    </w:tbl>
    <w:p>
      <w:pPr>
        <w:pStyle w:val="Normal"/>
        <w:spacing w:lineRule="auto" w:line="252" w:before="0" w:after="100"/>
        <w:rPr>
          <w:sz w:val="22"/>
        </w:rPr>
      </w:pPr>
      <w:r>
        <w:rPr>
          <w:sz w:val="22"/>
        </w:rPr>
      </w:r>
    </w:p>
    <w:p>
      <w:pPr>
        <w:pStyle w:val="Heading1"/>
        <w:rPr>
          <w:sz w:val="22"/>
          <w:szCs w:val="22"/>
        </w:rPr>
      </w:pPr>
      <w:r>
        <w:rPr>
          <w:rFonts w:eastAsia="Arial" w:ascii="Arial" w:hAnsi="Arial"/>
          <w:sz w:val="22"/>
          <w:szCs w:val="22"/>
        </w:rPr>
        <w:t>10. Hallucination and Grounding Analysis</w:t>
      </w:r>
    </w:p>
    <w:p>
      <w:pPr>
        <w:pStyle w:val="Normal"/>
        <w:spacing w:lineRule="auto" w:line="252" w:before="0" w:after="100"/>
        <w:rPr>
          <w:sz w:val="22"/>
          <w:szCs w:val="22"/>
        </w:rPr>
      </w:pPr>
      <w:r>
        <w:rPr>
          <w:rFonts w:eastAsia="Arial"/>
          <w:sz w:val="22"/>
          <w:szCs w:val="22"/>
        </w:rPr>
        <w:t>A deterministic proxy-based analysis was performed in the project for hallucination and grounding evaluation. In this analysis, error types such as missing citation, retrieval miss, low answer overlap, and wrong or unsupported citation were examined.</w:t>
      </w:r>
    </w:p>
    <w:p>
      <w:pPr>
        <w:pStyle w:val="Normal"/>
        <w:spacing w:lineRule="auto" w:line="252" w:before="0" w:after="100"/>
        <w:rPr>
          <w:sz w:val="22"/>
          <w:szCs w:val="22"/>
        </w:rPr>
      </w:pPr>
      <w:r>
        <w:rPr>
          <w:rFonts w:eastAsia="Arial"/>
          <w:sz w:val="22"/>
          <w:szCs w:val="22"/>
        </w:rPr>
        <w:t>The error type comparison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Error Type</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missing_citation</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13</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retrieval_miss</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acceptable_automatic</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95</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low_answer_overlap</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78</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42</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wrong_or_unsupported_citation</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10</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QLoRA system reduced the number of low_answer_overlap cases. This shows that the model produced expressions closer to the gold answer. However, in the same system, the numbers of missing_citation and wrong_or_unsupported_citation increased.</w:t>
      </w:r>
    </w:p>
    <w:p>
      <w:pPr>
        <w:pStyle w:val="Normal"/>
        <w:spacing w:lineRule="auto" w:line="252" w:before="0" w:after="100"/>
        <w:rPr>
          <w:sz w:val="22"/>
          <w:szCs w:val="22"/>
        </w:rPr>
      </w:pPr>
      <w:r>
        <w:rPr>
          <w:rFonts w:eastAsia="Arial"/>
          <w:sz w:val="22"/>
          <w:szCs w:val="22"/>
        </w:rPr>
        <w:t>The Base Qwen3-32B system showed lower citation risk. The number of missing citations remained at 3, and the number of wrong_or_unsupported_citation cases remained at 10. Therefore, the hallucination and grounding analysis supported the selection of the base Qwen3-32B model in the final system.</w:t>
      </w:r>
    </w:p>
    <w:p>
      <w:pPr>
        <w:pStyle w:val="Heading1"/>
        <w:rPr>
          <w:sz w:val="22"/>
          <w:szCs w:val="22"/>
        </w:rPr>
      </w:pPr>
      <w:r>
        <w:rPr>
          <w:rFonts w:eastAsia="Arial" w:ascii="Arial" w:hAnsi="Arial"/>
          <w:sz w:val="22"/>
          <w:szCs w:val="22"/>
        </w:rPr>
        <w:t>11. LLM Judge Evaluation</w:t>
      </w:r>
    </w:p>
    <w:p>
      <w:pPr>
        <w:pStyle w:val="Normal"/>
        <w:spacing w:lineRule="auto" w:line="252" w:before="0" w:after="100"/>
        <w:rPr>
          <w:sz w:val="22"/>
          <w:szCs w:val="22"/>
        </w:rPr>
      </w:pPr>
      <w:r>
        <w:rPr>
          <w:rFonts w:eastAsia="Arial"/>
          <w:sz w:val="22"/>
          <w:szCs w:val="22"/>
        </w:rPr>
        <w:t>In addition to deterministic metrics, the final base system was evaluated with an LLM judge on all 190 questions.</w:t>
      </w:r>
    </w:p>
    <w:p>
      <w:pPr>
        <w:pStyle w:val="Normal"/>
        <w:spacing w:lineRule="auto" w:line="252" w:before="0" w:after="100"/>
        <w:rPr>
          <w:rFonts w:ascii="Arial" w:hAnsi="Arial" w:eastAsia="Arial"/>
          <w:sz w:val="22"/>
          <w:szCs w:val="22"/>
        </w:rPr>
      </w:pPr>
      <w:r>
        <w:rPr>
          <w:rFonts w:eastAsia="Arial"/>
          <w:sz w:val="22"/>
          <w:szCs w:val="22"/>
        </w:rPr>
        <w:t>Judge information:</w:t>
      </w:r>
    </w:p>
    <w:tbl>
      <w:tblPr>
        <w:tblStyle w:val="TableGrid"/>
        <w:tblW w:w="15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560"/>
        <w:gridCol w:w="7640"/>
      </w:tblGrid>
      <w:tr>
        <w:trPr/>
        <w:tc>
          <w:tcPr>
            <w:tcW w:w="7560" w:type="dxa"/>
            <w:tcBorders/>
            <w:shd w:fill="D9EAF7" w:val="clear"/>
            <w:vAlign w:val="center"/>
          </w:tcPr>
          <w:p>
            <w:pPr>
              <w:pStyle w:val="Normal"/>
              <w:widowControl/>
              <w:suppressAutoHyphens w:val="true"/>
              <w:spacing w:lineRule="auto" w:line="240" w:before="0" w:after="0"/>
              <w:jc w:val="start"/>
              <w:rPr>
                <w:rFonts w:ascii="Arial" w:hAnsi="Arial" w:eastAsia="Arial" w:cs=""/>
                <w:b/>
                <w:kern w:val="0"/>
                <w:sz w:val="22"/>
                <w:szCs w:val="22"/>
                <w:lang w:val="en-US" w:eastAsia="en-US" w:bidi="ar-SA"/>
              </w:rPr>
            </w:pPr>
            <w:r>
              <w:rPr>
                <w:rFonts w:eastAsia="Arial" w:cs=""/>
                <w:b/>
                <w:kern w:val="0"/>
                <w:sz w:val="22"/>
                <w:szCs w:val="22"/>
                <w:lang w:val="en-US" w:eastAsia="en-US" w:bidi="ar-SA"/>
              </w:rPr>
              <w:t>Feature</w:t>
            </w:r>
          </w:p>
        </w:tc>
        <w:tc>
          <w:tcPr>
            <w:tcW w:w="7640"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Judge model</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Evaluated system</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LLM judge results: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Score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correctness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4.053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faithfulness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3.789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citation_support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3.468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hallucination_risk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1.795 / 5</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final base system is strong in terms of answer correctness and faithfulness to the retrieved context. Citation support is at a medium-good level. The low hallucination risk score supports the results observed in the deterministic hallucination analysis.</w:t>
      </w:r>
    </w:p>
    <w:p>
      <w:pPr>
        <w:pStyle w:val="Heading1"/>
        <w:rPr>
          <w:sz w:val="22"/>
          <w:szCs w:val="22"/>
        </w:rPr>
      </w:pPr>
      <w:r>
        <w:rPr>
          <w:rFonts w:eastAsia="Arial" w:ascii="Arial" w:hAnsi="Arial"/>
          <w:sz w:val="22"/>
          <w:szCs w:val="22"/>
        </w:rPr>
        <w:t>12. Final System</w:t>
      </w:r>
    </w:p>
    <w:p>
      <w:pPr>
        <w:pStyle w:val="Normal"/>
        <w:spacing w:lineRule="auto" w:line="252" w:before="0" w:after="100"/>
        <w:rPr>
          <w:sz w:val="22"/>
          <w:szCs w:val="22"/>
        </w:rPr>
      </w:pPr>
      <w:r>
        <w:rPr>
          <w:rFonts w:eastAsia="Arial"/>
          <w:sz w:val="22"/>
          <w:szCs w:val="22"/>
        </w:rPr>
        <w:t>At the end of the project, the final system was selected not according to a single metric, but by evaluating retrieval success, citation accuracy, grounded generation, and hallucination risk together.</w:t>
      </w:r>
    </w:p>
    <w:p>
      <w:pPr>
        <w:pStyle w:val="Normal"/>
        <w:spacing w:lineRule="auto" w:line="252" w:before="0" w:after="100"/>
        <w:rPr>
          <w:sz w:val="22"/>
          <w:szCs w:val="22"/>
        </w:rPr>
      </w:pPr>
      <w:r>
        <w:rPr>
          <w:rFonts w:eastAsia="Arial"/>
          <w:sz w:val="22"/>
          <w:szCs w:val="22"/>
        </w:rPr>
        <w:t>The final system architecture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Final Selection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Corpus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Normalized official-law article corpus v3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Qwen/Qwen3-Embedding-8B dense top-30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Qwen/Qwen3-Reranker-8B top-10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reasons for selecting this system are:</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Criterion</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Reason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retrieval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strongest article_hit@5, article_mrr, and article_ndcg values were obtained with this stack.</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accuracy</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generated more accurate citations than the QLoRA model.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 remained at the safest level.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 risk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error type analysis showed the base system to be safer.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Overall system balance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system was selected not only according to overlap score, but according to the reliability balance.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final system is not the system that gives the highest token_f1 or rouge_l value. However, when correct article retrieval, correct citation generation, and low hallucination risk, which are more important for the legal domain, are evaluated together, it is the most reliable system.</w:t>
      </w:r>
    </w:p>
    <w:p>
      <w:pPr>
        <w:pStyle w:val="Heading1"/>
        <w:rPr>
          <w:sz w:val="22"/>
          <w:szCs w:val="22"/>
        </w:rPr>
      </w:pPr>
      <w:r>
        <w:rPr>
          <w:rFonts w:eastAsia="Arial" w:ascii="Arial" w:hAnsi="Arial"/>
          <w:sz w:val="22"/>
          <w:szCs w:val="22"/>
        </w:rPr>
        <w:t>13. Overall Improvement from the Beginning to the Final System</w:t>
      </w:r>
    </w:p>
    <w:p>
      <w:pPr>
        <w:pStyle w:val="Normal"/>
        <w:spacing w:lineRule="auto" w:line="252" w:before="0" w:after="100"/>
        <w:rPr>
          <w:sz w:val="22"/>
          <w:szCs w:val="22"/>
        </w:rPr>
      </w:pPr>
      <w:r>
        <w:rPr>
          <w:rFonts w:eastAsia="Arial"/>
          <w:sz w:val="22"/>
          <w:szCs w:val="22"/>
        </w:rPr>
        <w:t>One of the strongest indicators of the project is the article-level improvement between the old Kaggle-only baseline and the final retrieval stack.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Kaggle-only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table shows that the largest gain of the project was on the retrieval side. While article_hit@5 was approximately 0.053 at the beginning, this value increased to 0.837 with the final retrieval stack. This increase shows that the system’s capacity to reach not only the correct document but also the correct legal article improved significantly.</w:t>
      </w:r>
    </w:p>
    <w:p>
      <w:pPr>
        <w:pStyle w:val="Heading1"/>
        <w:rPr>
          <w:sz w:val="22"/>
          <w:szCs w:val="22"/>
        </w:rPr>
      </w:pPr>
      <w:r>
        <w:rPr>
          <w:rFonts w:eastAsia="Arial" w:ascii="Arial" w:hAnsi="Arial"/>
          <w:sz w:val="22"/>
          <w:szCs w:val="22"/>
        </w:rPr>
        <w:t>14. Custom Data Pipeline</w:t>
      </w:r>
    </w:p>
    <w:p>
      <w:pPr>
        <w:pStyle w:val="Normal"/>
        <w:spacing w:lineRule="auto" w:line="252" w:before="0" w:after="100"/>
        <w:rPr>
          <w:sz w:val="22"/>
          <w:szCs w:val="22"/>
        </w:rPr>
      </w:pPr>
      <w:r>
        <w:rPr>
          <w:sz w:val="22"/>
          <w:szCs w:val="22"/>
        </w:rPr>
        <w:t>The project also supports instructor-provided custom document collections and benchmark files in both local and Google Drive/Colab-based workflows. For this purpose, a single-entry evaluation script, run_teacher_eval.py, and a teacher-facing notebook, notebooks/25_teacher_custom_data_single_notebook_demo.ipynb, were prepared. The instructor only needs to place custom documents under data/custom_docs/ and the benchmark file under data/custom_benchmark/custom_benchmark.csv. The system then automatically ingests the custom documents, converts them into the project retrieval schema, builds a custom index, and evaluates the same RAG pipeline on the provided benchmark. The same workflow can also be executed in Google Drive and Colab by uploading the repository folder to Drive and running either run_teacher_eval.py or notebooks/25_teacher_custom_data_single_notebook_demo.ipynb.</w:t>
      </w:r>
    </w:p>
    <w:p>
      <w:pPr>
        <w:pStyle w:val="Normal"/>
        <w:spacing w:lineRule="auto" w:line="252" w:before="0" w:after="100"/>
        <w:rPr>
          <w:sz w:val="22"/>
          <w:szCs w:val="22"/>
        </w:rPr>
      </w:pPr>
      <w:r>
        <w:rPr>
          <w:sz w:val="22"/>
          <w:szCs w:val="22"/>
        </w:rPr>
        <w:t>By default, this evaluation path uses the strongest final system configuration of the project: Qwen/Qwen3-Embedding-8B for dense retrieval, Qwen/Qwen3-Reranker-8B for reranking, and Qwen/Qwen3-32B for answer generation. If gold document/article fields are present, the system reports retrieval metrics such as hit/recall, MRR, and nDCG. If gold answers are also present, it additionally reports answer-level, citation-grounding, and hallucination-proxy metrics. The main results are written to output files, while the key metrics are also printed directly to the console so that the instructor can inspect them without manually opening intermediate CSV or JSON artifacts.</w:t>
      </w:r>
    </w:p>
    <w:p>
      <w:pPr>
        <w:pStyle w:val="Heading2"/>
        <w:spacing w:lineRule="auto" w:line="252" w:before="0" w:after="100"/>
        <w:rPr>
          <w:rFonts w:ascii="Arial" w:hAnsi="Arial" w:eastAsia="Arial"/>
          <w:sz w:val="22"/>
          <w:szCs w:val="22"/>
        </w:rPr>
      </w:pPr>
      <w:r>
        <w:rPr>
          <w:rFonts w:eastAsia="Arial" w:ascii="Arial" w:hAnsi="Arial"/>
          <w:sz w:val="22"/>
          <w:szCs w:val="22"/>
        </w:rPr>
      </w:r>
    </w:p>
    <w:p>
      <w:pPr>
        <w:pStyle w:val="Heading2"/>
        <w:spacing w:lineRule="auto" w:line="252" w:before="0" w:after="100"/>
        <w:rPr>
          <w:rFonts w:ascii="Arial" w:hAnsi="Arial" w:eastAsia="Arial"/>
          <w:sz w:val="22"/>
          <w:szCs w:val="22"/>
        </w:rPr>
      </w:pPr>
      <w:r>
        <w:rPr>
          <w:rFonts w:eastAsia="Arial" w:ascii="Arial" w:hAnsi="Arial"/>
          <w:sz w:val="22"/>
          <w:szCs w:val="22"/>
        </w:rPr>
        <w:t>15. Compute Environment and GPU Usage</w:t>
      </w:r>
    </w:p>
    <w:tbl>
      <w:tblPr>
        <w:tblW w:w="15254" w:type="dxa"/>
        <w:jc w:val="start"/>
        <w:tblInd w:w="28" w:type="dxa"/>
        <w:tblLayout w:type="fixed"/>
        <w:tblCellMar>
          <w:top w:w="28" w:type="dxa"/>
          <w:start w:w="28" w:type="dxa"/>
          <w:bottom w:w="28" w:type="dxa"/>
          <w:end w:w="28" w:type="dxa"/>
        </w:tblCellMar>
      </w:tblPr>
      <w:tblGrid>
        <w:gridCol w:w="2390"/>
        <w:gridCol w:w="2587"/>
        <w:gridCol w:w="2163"/>
        <w:gridCol w:w="8114"/>
      </w:tblGrid>
      <w:tr>
        <w:trPr>
          <w:tblHeader w:val="true"/>
        </w:trPr>
        <w:tc>
          <w:tcPr>
            <w:tcW w:w="2390"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Experiment / Stage</w:t>
            </w:r>
          </w:p>
        </w:tc>
        <w:tc>
          <w:tcPr>
            <w:tcW w:w="2587"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Environment</w:t>
            </w:r>
          </w:p>
        </w:tc>
        <w:tc>
          <w:tcPr>
            <w:tcW w:w="2163"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GPU Usage</w:t>
            </w:r>
          </w:p>
        </w:tc>
        <w:tc>
          <w:tcPr>
            <w:tcW w:w="8114"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Notes</w:t>
            </w:r>
          </w:p>
        </w:tc>
      </w:tr>
      <w:tr>
        <w:trPr/>
        <w:tc>
          <w:tcPr>
            <w:tcW w:w="2390" w:type="dxa"/>
            <w:tcBorders/>
            <w:vAlign w:val="center"/>
          </w:tcPr>
          <w:p>
            <w:pPr>
              <w:pStyle w:val="Normal"/>
              <w:spacing w:lineRule="auto" w:line="252" w:before="0" w:after="100"/>
              <w:rPr>
                <w:sz w:val="22"/>
                <w:szCs w:val="22"/>
              </w:rPr>
            </w:pPr>
            <w:r>
              <w:rPr>
                <w:sz w:val="22"/>
                <w:szCs w:val="22"/>
              </w:rPr>
              <w:t>Corpus indexing</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Corpus indexing and dense embedding generation were executed in Colab with A100 GPU support.</w:t>
            </w:r>
          </w:p>
        </w:tc>
      </w:tr>
      <w:tr>
        <w:trPr/>
        <w:tc>
          <w:tcPr>
            <w:tcW w:w="2390" w:type="dxa"/>
            <w:tcBorders/>
            <w:vAlign w:val="center"/>
          </w:tcPr>
          <w:p>
            <w:pPr>
              <w:pStyle w:val="Normal"/>
              <w:spacing w:lineRule="auto" w:line="252" w:before="0" w:after="100"/>
              <w:rPr>
                <w:sz w:val="22"/>
                <w:szCs w:val="22"/>
              </w:rPr>
            </w:pPr>
            <w:r>
              <w:rPr>
                <w:sz w:val="22"/>
                <w:szCs w:val="22"/>
              </w:rPr>
              <w:t>Dense retrieval</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Qwen/Qwen3-Embedding-8B dense retrieval experiments were executed in Colab.</w:t>
            </w:r>
          </w:p>
        </w:tc>
      </w:tr>
      <w:tr>
        <w:trPr/>
        <w:tc>
          <w:tcPr>
            <w:tcW w:w="2390" w:type="dxa"/>
            <w:tcBorders/>
            <w:vAlign w:val="center"/>
          </w:tcPr>
          <w:p>
            <w:pPr>
              <w:pStyle w:val="Normal"/>
              <w:spacing w:lineRule="auto" w:line="252" w:before="0" w:after="100"/>
              <w:rPr>
                <w:sz w:val="22"/>
                <w:szCs w:val="22"/>
              </w:rPr>
            </w:pPr>
            <w:r>
              <w:rPr>
                <w:sz w:val="22"/>
                <w:szCs w:val="22"/>
              </w:rPr>
              <w:t>BM25 sparse retrieval</w:t>
            </w:r>
          </w:p>
        </w:tc>
        <w:tc>
          <w:tcPr>
            <w:tcW w:w="2587" w:type="dxa"/>
            <w:tcBorders/>
            <w:vAlign w:val="center"/>
          </w:tcPr>
          <w:p>
            <w:pPr>
              <w:pStyle w:val="Normal"/>
              <w:spacing w:lineRule="auto" w:line="252" w:before="0" w:after="100"/>
              <w:rPr>
                <w:sz w:val="22"/>
                <w:szCs w:val="22"/>
              </w:rPr>
            </w:pPr>
            <w:r>
              <w:rPr>
                <w:sz w:val="22"/>
                <w:szCs w:val="22"/>
              </w:rPr>
              <w:t>Google Colab</w:t>
            </w:r>
          </w:p>
        </w:tc>
        <w:tc>
          <w:tcPr>
            <w:tcW w:w="2163" w:type="dxa"/>
            <w:tcBorders/>
            <w:vAlign w:val="center"/>
          </w:tcPr>
          <w:p>
            <w:pPr>
              <w:pStyle w:val="Normal"/>
              <w:spacing w:lineRule="auto" w:line="252" w:before="0" w:after="100"/>
              <w:rPr>
                <w:sz w:val="22"/>
                <w:szCs w:val="22"/>
              </w:rPr>
            </w:pPr>
            <w:r>
              <w:rPr>
                <w:sz w:val="22"/>
                <w:szCs w:val="22"/>
              </w:rPr>
              <w:t>GPU not required</w:t>
            </w:r>
          </w:p>
        </w:tc>
        <w:tc>
          <w:tcPr>
            <w:tcW w:w="8114" w:type="dxa"/>
            <w:tcBorders/>
            <w:vAlign w:val="center"/>
          </w:tcPr>
          <w:p>
            <w:pPr>
              <w:pStyle w:val="Normal"/>
              <w:spacing w:lineRule="auto" w:line="252" w:before="0" w:after="100"/>
              <w:rPr>
                <w:sz w:val="22"/>
                <w:szCs w:val="22"/>
              </w:rPr>
            </w:pPr>
            <w:r>
              <w:rPr>
                <w:sz w:val="22"/>
                <w:szCs w:val="22"/>
              </w:rPr>
              <w:t>BM25 is a lexical retrieval method and does not inherently require GPU acceleration, but it was still run inside the Colab workflow.</w:t>
            </w:r>
          </w:p>
        </w:tc>
      </w:tr>
      <w:tr>
        <w:trPr/>
        <w:tc>
          <w:tcPr>
            <w:tcW w:w="2390" w:type="dxa"/>
            <w:tcBorders/>
            <w:vAlign w:val="center"/>
          </w:tcPr>
          <w:p>
            <w:pPr>
              <w:pStyle w:val="Normal"/>
              <w:spacing w:lineRule="auto" w:line="252" w:before="0" w:after="100"/>
              <w:rPr>
                <w:sz w:val="22"/>
                <w:szCs w:val="22"/>
              </w:rPr>
            </w:pPr>
            <w:r>
              <w:rPr>
                <w:sz w:val="22"/>
                <w:szCs w:val="22"/>
              </w:rPr>
              <w:t>Hybrid retrieval</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 for dense part</w:t>
            </w:r>
          </w:p>
        </w:tc>
        <w:tc>
          <w:tcPr>
            <w:tcW w:w="8114" w:type="dxa"/>
            <w:tcBorders/>
            <w:vAlign w:val="center"/>
          </w:tcPr>
          <w:p>
            <w:pPr>
              <w:pStyle w:val="Normal"/>
              <w:spacing w:lineRule="auto" w:line="252" w:before="0" w:after="100"/>
              <w:rPr>
                <w:sz w:val="22"/>
                <w:szCs w:val="22"/>
              </w:rPr>
            </w:pPr>
            <w:r>
              <w:rPr>
                <w:sz w:val="22"/>
                <w:szCs w:val="22"/>
              </w:rPr>
              <w:t>BM25 was combined with dense retrieval; the dense embedding part used GPU acceleration.</w:t>
            </w:r>
          </w:p>
        </w:tc>
      </w:tr>
      <w:tr>
        <w:trPr/>
        <w:tc>
          <w:tcPr>
            <w:tcW w:w="2390" w:type="dxa"/>
            <w:tcBorders/>
            <w:vAlign w:val="center"/>
          </w:tcPr>
          <w:p>
            <w:pPr>
              <w:pStyle w:val="Normal"/>
              <w:spacing w:lineRule="auto" w:line="252" w:before="0" w:after="100"/>
              <w:rPr>
                <w:sz w:val="22"/>
                <w:szCs w:val="22"/>
              </w:rPr>
            </w:pPr>
            <w:r>
              <w:rPr>
                <w:sz w:val="22"/>
                <w:szCs w:val="22"/>
              </w:rPr>
              <w:t>Reranker evaluation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Qwen/Qwen3-Reranker-8B evaluation was executed with GPU acceleration.</w:t>
            </w:r>
          </w:p>
        </w:tc>
      </w:tr>
      <w:tr>
        <w:trPr/>
        <w:tc>
          <w:tcPr>
            <w:tcW w:w="2390" w:type="dxa"/>
            <w:tcBorders/>
            <w:vAlign w:val="center"/>
          </w:tcPr>
          <w:p>
            <w:pPr>
              <w:pStyle w:val="Normal"/>
              <w:spacing w:lineRule="auto" w:line="252" w:before="0" w:after="100"/>
              <w:rPr>
                <w:sz w:val="22"/>
                <w:szCs w:val="22"/>
              </w:rPr>
            </w:pPr>
            <w:r>
              <w:rPr>
                <w:sz w:val="22"/>
                <w:szCs w:val="22"/>
              </w:rPr>
              <w:t>Base RAG generation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Qwen/Qwen3-32B Base RAG generation was performed in Colab.</w:t>
            </w:r>
          </w:p>
        </w:tc>
      </w:tr>
      <w:tr>
        <w:trPr/>
        <w:tc>
          <w:tcPr>
            <w:tcW w:w="2390" w:type="dxa"/>
            <w:tcBorders/>
            <w:vAlign w:val="center"/>
          </w:tcPr>
          <w:p>
            <w:pPr>
              <w:pStyle w:val="Normal"/>
              <w:spacing w:lineRule="auto" w:line="252" w:before="0" w:after="100"/>
              <w:rPr>
                <w:sz w:val="22"/>
                <w:szCs w:val="22"/>
              </w:rPr>
            </w:pPr>
            <w:r>
              <w:rPr>
                <w:sz w:val="22"/>
                <w:szCs w:val="22"/>
              </w:rPr>
              <w:t>Fine-tuned RAG generation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Qwen/Qwen3-32B QLoRA RAG generation was performed under the same Colab setup.</w:t>
            </w:r>
          </w:p>
        </w:tc>
      </w:tr>
      <w:tr>
        <w:trPr/>
        <w:tc>
          <w:tcPr>
            <w:tcW w:w="2390" w:type="dxa"/>
            <w:tcBorders/>
            <w:vAlign w:val="center"/>
          </w:tcPr>
          <w:p>
            <w:pPr>
              <w:pStyle w:val="Normal"/>
              <w:spacing w:lineRule="auto" w:line="252" w:before="0" w:after="100"/>
              <w:rPr>
                <w:sz w:val="22"/>
                <w:szCs w:val="22"/>
              </w:rPr>
            </w:pPr>
            <w:r>
              <w:rPr>
                <w:sz w:val="22"/>
                <w:szCs w:val="22"/>
              </w:rPr>
              <w:t>QLoRA fine-tuning</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Fine-tuning was performed using 4-bit loading and QLoRA configuration.</w:t>
            </w:r>
          </w:p>
        </w:tc>
      </w:tr>
      <w:tr>
        <w:trPr/>
        <w:tc>
          <w:tcPr>
            <w:tcW w:w="2390" w:type="dxa"/>
            <w:tcBorders/>
            <w:vAlign w:val="center"/>
          </w:tcPr>
          <w:p>
            <w:pPr>
              <w:pStyle w:val="Normal"/>
              <w:spacing w:lineRule="auto" w:line="252" w:before="0" w:after="100"/>
              <w:rPr>
                <w:sz w:val="22"/>
                <w:szCs w:val="22"/>
              </w:rPr>
            </w:pPr>
            <w:r>
              <w:rPr>
                <w:sz w:val="22"/>
                <w:szCs w:val="22"/>
              </w:rPr>
              <w:t>Embedding adaptation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Qwen/Qwen3-Embedding-8B adaptation was performed using LoRA and hard negatives.</w:t>
            </w:r>
          </w:p>
        </w:tc>
      </w:tr>
      <w:tr>
        <w:trPr/>
        <w:tc>
          <w:tcPr>
            <w:tcW w:w="2390" w:type="dxa"/>
            <w:tcBorders/>
            <w:vAlign w:val="center"/>
          </w:tcPr>
          <w:p>
            <w:pPr>
              <w:pStyle w:val="Normal"/>
              <w:spacing w:lineRule="auto" w:line="252" w:before="0" w:after="100"/>
              <w:rPr>
                <w:sz w:val="22"/>
                <w:szCs w:val="22"/>
              </w:rPr>
            </w:pPr>
            <w:r>
              <w:rPr>
                <w:sz w:val="22"/>
                <w:szCs w:val="22"/>
              </w:rPr>
              <w:t>Reranker adaptation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Qwen/Qwen3-Reranker-8B adaptation was executed in Colab.</w:t>
            </w:r>
          </w:p>
        </w:tc>
      </w:tr>
      <w:tr>
        <w:trPr/>
        <w:tc>
          <w:tcPr>
            <w:tcW w:w="2390" w:type="dxa"/>
            <w:tcBorders/>
            <w:vAlign w:val="center"/>
          </w:tcPr>
          <w:p>
            <w:pPr>
              <w:pStyle w:val="Normal"/>
              <w:spacing w:lineRule="auto" w:line="252" w:before="0" w:after="100"/>
              <w:rPr>
                <w:sz w:val="22"/>
                <w:szCs w:val="22"/>
              </w:rPr>
            </w:pPr>
            <w:r>
              <w:rPr>
                <w:sz w:val="22"/>
                <w:szCs w:val="22"/>
              </w:rPr>
              <w:t>LLM judge evaluation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LLM-based evaluation was performed with the Qwen model family under GPU acceleration.</w:t>
            </w:r>
          </w:p>
        </w:tc>
      </w:tr>
      <w:tr>
        <w:trPr/>
        <w:tc>
          <w:tcPr>
            <w:tcW w:w="2390" w:type="dxa"/>
            <w:tcBorders/>
            <w:vAlign w:val="center"/>
          </w:tcPr>
          <w:p>
            <w:pPr>
              <w:pStyle w:val="Normal"/>
              <w:spacing w:lineRule="auto" w:line="252" w:before="0" w:after="100"/>
              <w:rPr>
                <w:sz w:val="22"/>
                <w:szCs w:val="22"/>
              </w:rPr>
            </w:pPr>
            <w:r>
              <w:rPr>
                <w:sz w:val="22"/>
                <w:szCs w:val="22"/>
              </w:rPr>
              <w:t>Report and repository preparation</w:t>
            </w:r>
          </w:p>
        </w:tc>
        <w:tc>
          <w:tcPr>
            <w:tcW w:w="2587" w:type="dxa"/>
            <w:tcBorders/>
            <w:vAlign w:val="center"/>
          </w:tcPr>
          <w:p>
            <w:pPr>
              <w:pStyle w:val="Normal"/>
              <w:spacing w:lineRule="auto" w:line="252" w:before="0" w:after="100"/>
              <w:rPr>
                <w:sz w:val="22"/>
                <w:szCs w:val="22"/>
              </w:rPr>
            </w:pPr>
            <w:r>
              <w:rPr>
                <w:sz w:val="22"/>
                <w:szCs w:val="22"/>
              </w:rPr>
              <w:t>Google Colab / local file organization</w:t>
            </w:r>
          </w:p>
        </w:tc>
        <w:tc>
          <w:tcPr>
            <w:tcW w:w="2163" w:type="dxa"/>
            <w:tcBorders/>
            <w:vAlign w:val="center"/>
          </w:tcPr>
          <w:p>
            <w:pPr>
              <w:pStyle w:val="Normal"/>
              <w:spacing w:lineRule="auto" w:line="252" w:before="0" w:after="100"/>
              <w:rPr>
                <w:sz w:val="22"/>
                <w:szCs w:val="22"/>
              </w:rPr>
            </w:pPr>
            <w:r>
              <w:rPr>
                <w:sz w:val="22"/>
                <w:szCs w:val="22"/>
              </w:rPr>
              <w:t>Not part of heavy computation</w:t>
            </w:r>
          </w:p>
        </w:tc>
        <w:tc>
          <w:tcPr>
            <w:tcW w:w="8114" w:type="dxa"/>
            <w:tcBorders/>
            <w:vAlign w:val="center"/>
          </w:tcPr>
          <w:p>
            <w:pPr>
              <w:pStyle w:val="Normal"/>
              <w:spacing w:lineRule="auto" w:line="252" w:before="0" w:after="100"/>
              <w:rPr>
                <w:sz w:val="22"/>
                <w:szCs w:val="22"/>
              </w:rPr>
            </w:pPr>
            <w:r>
              <w:rPr>
                <w:sz w:val="22"/>
                <w:szCs w:val="22"/>
              </w:rPr>
              <w:t>Notebook cleanup, report preparation, result organization, and file-level validation were performed after the main Colab experiments.</w:t>
            </w:r>
          </w:p>
        </w:tc>
      </w:tr>
    </w:tbl>
    <w:p>
      <w:pPr>
        <w:pStyle w:val="Yatayizgi"/>
        <w:spacing w:lineRule="auto" w:line="252" w:before="0" w:after="100"/>
        <w:rPr>
          <w:sz w:val="22"/>
          <w:szCs w:val="22"/>
        </w:rPr>
      </w:pPr>
      <w:r>
        <w:rPr>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t>16. Final Retrieval and Generation Hyperparameters</w:t>
      </w:r>
    </w:p>
    <w:tbl>
      <w:tblPr>
        <w:tblW w:w="15254" w:type="dxa"/>
        <w:jc w:val="start"/>
        <w:tblInd w:w="28" w:type="dxa"/>
        <w:tblLayout w:type="fixed"/>
        <w:tblCellMar>
          <w:top w:w="28" w:type="dxa"/>
          <w:start w:w="28" w:type="dxa"/>
          <w:bottom w:w="28" w:type="dxa"/>
          <w:end w:w="28" w:type="dxa"/>
        </w:tblCellMar>
      </w:tblPr>
      <w:tblGrid>
        <w:gridCol w:w="2164"/>
        <w:gridCol w:w="1963"/>
        <w:gridCol w:w="6721"/>
        <w:gridCol w:w="4406"/>
      </w:tblGrid>
      <w:tr>
        <w:trPr>
          <w:tblHeader w:val="true"/>
        </w:trPr>
        <w:tc>
          <w:tcPr>
            <w:tcW w:w="2164" w:type="dxa"/>
            <w:tcBorders/>
            <w:vAlign w:val="center"/>
          </w:tcPr>
          <w:p>
            <w:pPr>
              <w:pStyle w:val="Normal"/>
              <w:spacing w:lineRule="auto" w:line="252" w:before="0" w:after="100"/>
              <w:rPr>
                <w:b/>
                <w:bCs/>
                <w:sz w:val="22"/>
                <w:szCs w:val="22"/>
              </w:rPr>
            </w:pPr>
            <w:r>
              <w:rPr>
                <w:b/>
                <w:bCs/>
                <w:sz w:val="22"/>
                <w:szCs w:val="22"/>
              </w:rPr>
              <w:t>Component</w:t>
            </w:r>
          </w:p>
        </w:tc>
        <w:tc>
          <w:tcPr>
            <w:tcW w:w="1963" w:type="dxa"/>
            <w:tcBorders/>
            <w:vAlign w:val="center"/>
          </w:tcPr>
          <w:p>
            <w:pPr>
              <w:pStyle w:val="Normal"/>
              <w:spacing w:lineRule="auto" w:line="252" w:before="0" w:after="100"/>
              <w:rPr>
                <w:b/>
                <w:bCs/>
                <w:sz w:val="22"/>
                <w:szCs w:val="22"/>
              </w:rPr>
            </w:pPr>
            <w:r>
              <w:rPr>
                <w:b/>
                <w:bCs/>
                <w:sz w:val="22"/>
                <w:szCs w:val="22"/>
              </w:rPr>
              <w:t>Model / Method</w:t>
            </w:r>
          </w:p>
        </w:tc>
        <w:tc>
          <w:tcPr>
            <w:tcW w:w="6721" w:type="dxa"/>
            <w:tcBorders/>
            <w:vAlign w:val="center"/>
          </w:tcPr>
          <w:p>
            <w:pPr>
              <w:pStyle w:val="Normal"/>
              <w:spacing w:lineRule="auto" w:line="252" w:before="0" w:after="100"/>
              <w:rPr>
                <w:b/>
                <w:bCs/>
                <w:sz w:val="22"/>
                <w:szCs w:val="22"/>
              </w:rPr>
            </w:pPr>
            <w:r>
              <w:rPr>
                <w:b/>
                <w:bCs/>
                <w:sz w:val="22"/>
                <w:szCs w:val="22"/>
              </w:rPr>
              <w:t>Main Hyperparameters</w:t>
            </w:r>
          </w:p>
        </w:tc>
        <w:tc>
          <w:tcPr>
            <w:tcW w:w="4406" w:type="dxa"/>
            <w:tcBorders/>
            <w:vAlign w:val="center"/>
          </w:tcPr>
          <w:p>
            <w:pPr>
              <w:pStyle w:val="Normal"/>
              <w:spacing w:lineRule="auto" w:line="252" w:before="0" w:after="100"/>
              <w:rPr>
                <w:b/>
                <w:bCs/>
                <w:sz w:val="22"/>
                <w:szCs w:val="22"/>
              </w:rPr>
            </w:pPr>
            <w:r>
              <w:rPr>
                <w:b/>
                <w:bCs/>
                <w:sz w:val="22"/>
                <w:szCs w:val="22"/>
              </w:rPr>
              <w:t>Purpose</w:t>
            </w:r>
          </w:p>
        </w:tc>
      </w:tr>
      <w:tr>
        <w:trPr/>
        <w:tc>
          <w:tcPr>
            <w:tcW w:w="2164" w:type="dxa"/>
            <w:tcBorders/>
            <w:vAlign w:val="center"/>
          </w:tcPr>
          <w:p>
            <w:pPr>
              <w:pStyle w:val="Normal"/>
              <w:spacing w:lineRule="auto" w:line="252" w:before="0" w:after="100"/>
              <w:rPr>
                <w:sz w:val="22"/>
                <w:szCs w:val="22"/>
              </w:rPr>
            </w:pPr>
            <w:r>
              <w:rPr>
                <w:sz w:val="22"/>
                <w:szCs w:val="22"/>
              </w:rPr>
              <w:t>Dense retriever</w:t>
            </w:r>
          </w:p>
        </w:tc>
        <w:tc>
          <w:tcPr>
            <w:tcW w:w="1963" w:type="dxa"/>
            <w:tcBorders/>
            <w:vAlign w:val="center"/>
          </w:tcPr>
          <w:p>
            <w:pPr>
              <w:pStyle w:val="Normal"/>
              <w:spacing w:lineRule="auto" w:line="252" w:before="0" w:after="100"/>
              <w:rPr>
                <w:sz w:val="22"/>
                <w:szCs w:val="22"/>
              </w:rPr>
            </w:pPr>
            <w:r>
              <w:rPr>
                <w:sz w:val="22"/>
                <w:szCs w:val="22"/>
              </w:rPr>
              <w:t>Qwen/Qwen3-Embedding-8B</w:t>
            </w:r>
          </w:p>
        </w:tc>
        <w:tc>
          <w:tcPr>
            <w:tcW w:w="6721" w:type="dxa"/>
            <w:tcBorders/>
            <w:vAlign w:val="center"/>
          </w:tcPr>
          <w:p>
            <w:pPr>
              <w:pStyle w:val="Normal"/>
              <w:spacing w:lineRule="auto" w:line="252" w:before="0" w:after="100"/>
              <w:rPr>
                <w:sz w:val="22"/>
                <w:szCs w:val="22"/>
              </w:rPr>
            </w:pPr>
            <w:r>
              <w:rPr>
                <w:sz w:val="22"/>
                <w:szCs w:val="22"/>
              </w:rPr>
              <w:t>candidate_k = 30, batch_size = 32</w:t>
            </w:r>
          </w:p>
        </w:tc>
        <w:tc>
          <w:tcPr>
            <w:tcW w:w="4406" w:type="dxa"/>
            <w:tcBorders/>
            <w:vAlign w:val="center"/>
          </w:tcPr>
          <w:p>
            <w:pPr>
              <w:pStyle w:val="Normal"/>
              <w:spacing w:lineRule="auto" w:line="252" w:before="0" w:after="100"/>
              <w:rPr>
                <w:sz w:val="22"/>
                <w:szCs w:val="22"/>
              </w:rPr>
            </w:pPr>
            <w:r>
              <w:rPr>
                <w:sz w:val="22"/>
                <w:szCs w:val="22"/>
              </w:rPr>
              <w:t>Retrieves the first dense candidate pool from the legal corpus.</w:t>
            </w:r>
          </w:p>
        </w:tc>
      </w:tr>
      <w:tr>
        <w:trPr/>
        <w:tc>
          <w:tcPr>
            <w:tcW w:w="2164" w:type="dxa"/>
            <w:tcBorders/>
            <w:vAlign w:val="center"/>
          </w:tcPr>
          <w:p>
            <w:pPr>
              <w:pStyle w:val="Normal"/>
              <w:spacing w:lineRule="auto" w:line="252" w:before="0" w:after="100"/>
              <w:rPr>
                <w:sz w:val="22"/>
                <w:szCs w:val="22"/>
              </w:rPr>
            </w:pPr>
            <w:r>
              <w:rPr>
                <w:sz w:val="22"/>
                <w:szCs w:val="22"/>
              </w:rPr>
              <w:t>Sparse retriever</w:t>
            </w:r>
          </w:p>
        </w:tc>
        <w:tc>
          <w:tcPr>
            <w:tcW w:w="1963" w:type="dxa"/>
            <w:tcBorders/>
            <w:vAlign w:val="center"/>
          </w:tcPr>
          <w:p>
            <w:pPr>
              <w:pStyle w:val="Normal"/>
              <w:spacing w:lineRule="auto" w:line="252" w:before="0" w:after="100"/>
              <w:rPr>
                <w:sz w:val="22"/>
                <w:szCs w:val="22"/>
              </w:rPr>
            </w:pPr>
            <w:r>
              <w:rPr>
                <w:sz w:val="22"/>
                <w:szCs w:val="22"/>
              </w:rPr>
              <w:t>BM25</w:t>
            </w:r>
          </w:p>
        </w:tc>
        <w:tc>
          <w:tcPr>
            <w:tcW w:w="6721" w:type="dxa"/>
            <w:tcBorders/>
            <w:vAlign w:val="center"/>
          </w:tcPr>
          <w:p>
            <w:pPr>
              <w:pStyle w:val="Normal"/>
              <w:spacing w:lineRule="auto" w:line="252" w:before="0" w:after="100"/>
              <w:rPr>
                <w:sz w:val="22"/>
                <w:szCs w:val="22"/>
              </w:rPr>
            </w:pPr>
            <w:r>
              <w:rPr>
                <w:sz w:val="22"/>
                <w:szCs w:val="22"/>
              </w:rPr>
              <w:t>Default BM25 lexical scoring</w:t>
            </w:r>
          </w:p>
        </w:tc>
        <w:tc>
          <w:tcPr>
            <w:tcW w:w="4406" w:type="dxa"/>
            <w:tcBorders/>
            <w:vAlign w:val="center"/>
          </w:tcPr>
          <w:p>
            <w:pPr>
              <w:pStyle w:val="Normal"/>
              <w:spacing w:lineRule="auto" w:line="252" w:before="0" w:after="100"/>
              <w:rPr>
                <w:sz w:val="22"/>
                <w:szCs w:val="22"/>
              </w:rPr>
            </w:pPr>
            <w:r>
              <w:rPr>
                <w:sz w:val="22"/>
                <w:szCs w:val="22"/>
              </w:rPr>
              <w:t>Used as a sparse retrieval baseline and for hybrid retrieval comparison.</w:t>
            </w:r>
          </w:p>
        </w:tc>
      </w:tr>
      <w:tr>
        <w:trPr/>
        <w:tc>
          <w:tcPr>
            <w:tcW w:w="2164" w:type="dxa"/>
            <w:tcBorders/>
            <w:vAlign w:val="center"/>
          </w:tcPr>
          <w:p>
            <w:pPr>
              <w:pStyle w:val="Normal"/>
              <w:spacing w:lineRule="auto" w:line="252" w:before="0" w:after="100"/>
              <w:rPr>
                <w:sz w:val="22"/>
                <w:szCs w:val="22"/>
              </w:rPr>
            </w:pPr>
            <w:r>
              <w:rPr>
                <w:sz w:val="22"/>
                <w:szCs w:val="22"/>
              </w:rPr>
              <w:t>Final reranker</w:t>
            </w:r>
          </w:p>
        </w:tc>
        <w:tc>
          <w:tcPr>
            <w:tcW w:w="1963" w:type="dxa"/>
            <w:tcBorders/>
            <w:vAlign w:val="center"/>
          </w:tcPr>
          <w:p>
            <w:pPr>
              <w:pStyle w:val="Normal"/>
              <w:spacing w:lineRule="auto" w:line="252" w:before="0" w:after="100"/>
              <w:rPr>
                <w:sz w:val="22"/>
                <w:szCs w:val="22"/>
              </w:rPr>
            </w:pPr>
            <w:r>
              <w:rPr>
                <w:sz w:val="22"/>
                <w:szCs w:val="22"/>
              </w:rPr>
              <w:t>Qwen/Qwen3-Reranker-8B</w:t>
            </w:r>
          </w:p>
        </w:tc>
        <w:tc>
          <w:tcPr>
            <w:tcW w:w="6721" w:type="dxa"/>
            <w:tcBorders/>
            <w:vAlign w:val="center"/>
          </w:tcPr>
          <w:p>
            <w:pPr>
              <w:pStyle w:val="Normal"/>
              <w:spacing w:lineRule="auto" w:line="252" w:before="0" w:after="100"/>
              <w:rPr>
                <w:sz w:val="22"/>
                <w:szCs w:val="22"/>
              </w:rPr>
            </w:pPr>
            <w:r>
              <w:rPr>
                <w:sz w:val="22"/>
                <w:szCs w:val="22"/>
              </w:rPr>
              <w:t>candidate_k = 30, final top_k = 10, evaluation batch_size = 16</w:t>
            </w:r>
          </w:p>
        </w:tc>
        <w:tc>
          <w:tcPr>
            <w:tcW w:w="4406" w:type="dxa"/>
            <w:tcBorders/>
            <w:vAlign w:val="center"/>
          </w:tcPr>
          <w:p>
            <w:pPr>
              <w:pStyle w:val="Normal"/>
              <w:spacing w:lineRule="auto" w:line="252" w:before="0" w:after="100"/>
              <w:rPr>
                <w:sz w:val="22"/>
                <w:szCs w:val="22"/>
              </w:rPr>
            </w:pPr>
            <w:r>
              <w:rPr>
                <w:sz w:val="22"/>
                <w:szCs w:val="22"/>
              </w:rPr>
              <w:t>Reranks dense candidates and selects the final context documents.</w:t>
            </w:r>
          </w:p>
        </w:tc>
      </w:tr>
      <w:tr>
        <w:trPr/>
        <w:tc>
          <w:tcPr>
            <w:tcW w:w="2164" w:type="dxa"/>
            <w:tcBorders/>
            <w:vAlign w:val="center"/>
          </w:tcPr>
          <w:p>
            <w:pPr>
              <w:pStyle w:val="Normal"/>
              <w:spacing w:lineRule="auto" w:line="252" w:before="0" w:after="100"/>
              <w:rPr>
                <w:sz w:val="22"/>
                <w:szCs w:val="22"/>
              </w:rPr>
            </w:pPr>
            <w:r>
              <w:rPr>
                <w:sz w:val="22"/>
                <w:szCs w:val="22"/>
              </w:rPr>
              <w:t>Interactive/demo reranker setting</w:t>
            </w:r>
          </w:p>
        </w:tc>
        <w:tc>
          <w:tcPr>
            <w:tcW w:w="1963" w:type="dxa"/>
            <w:tcBorders/>
            <w:vAlign w:val="center"/>
          </w:tcPr>
          <w:p>
            <w:pPr>
              <w:pStyle w:val="Normal"/>
              <w:spacing w:lineRule="auto" w:line="252" w:before="0" w:after="100"/>
              <w:rPr>
                <w:sz w:val="22"/>
                <w:szCs w:val="22"/>
              </w:rPr>
            </w:pPr>
            <w:r>
              <w:rPr>
                <w:sz w:val="22"/>
                <w:szCs w:val="22"/>
              </w:rPr>
              <w:t>Qwen/Qwen3-Reranker-8B</w:t>
            </w:r>
          </w:p>
        </w:tc>
        <w:tc>
          <w:tcPr>
            <w:tcW w:w="6721" w:type="dxa"/>
            <w:tcBorders/>
            <w:vAlign w:val="center"/>
          </w:tcPr>
          <w:p>
            <w:pPr>
              <w:pStyle w:val="Normal"/>
              <w:spacing w:lineRule="auto" w:line="252" w:before="0" w:after="100"/>
              <w:rPr>
                <w:sz w:val="22"/>
                <w:szCs w:val="22"/>
              </w:rPr>
            </w:pPr>
            <w:r>
              <w:rPr>
                <w:sz w:val="22"/>
                <w:szCs w:val="22"/>
              </w:rPr>
              <w:t>batch_size = 4</w:t>
            </w:r>
          </w:p>
        </w:tc>
        <w:tc>
          <w:tcPr>
            <w:tcW w:w="4406" w:type="dxa"/>
            <w:tcBorders/>
            <w:vAlign w:val="center"/>
          </w:tcPr>
          <w:p>
            <w:pPr>
              <w:pStyle w:val="Normal"/>
              <w:spacing w:lineRule="auto" w:line="252" w:before="0" w:after="100"/>
              <w:rPr>
                <w:sz w:val="22"/>
                <w:szCs w:val="22"/>
              </w:rPr>
            </w:pPr>
            <w:r>
              <w:rPr>
                <w:sz w:val="22"/>
                <w:szCs w:val="22"/>
              </w:rPr>
              <w:t>Lower batch size was used in demo notebooks for stability.</w:t>
            </w:r>
          </w:p>
        </w:tc>
      </w:tr>
      <w:tr>
        <w:trPr/>
        <w:tc>
          <w:tcPr>
            <w:tcW w:w="2164" w:type="dxa"/>
            <w:tcBorders/>
            <w:vAlign w:val="center"/>
          </w:tcPr>
          <w:p>
            <w:pPr>
              <w:pStyle w:val="Normal"/>
              <w:spacing w:lineRule="auto" w:line="252" w:before="0" w:after="100"/>
              <w:rPr>
                <w:sz w:val="22"/>
                <w:szCs w:val="22"/>
              </w:rPr>
            </w:pPr>
            <w:r>
              <w:rPr>
                <w:sz w:val="22"/>
                <w:szCs w:val="22"/>
              </w:rPr>
              <w:t>Base RAG generation</w:t>
            </w:r>
          </w:p>
        </w:tc>
        <w:tc>
          <w:tcPr>
            <w:tcW w:w="1963" w:type="dxa"/>
            <w:tcBorders/>
            <w:vAlign w:val="center"/>
          </w:tcPr>
          <w:p>
            <w:pPr>
              <w:pStyle w:val="Normal"/>
              <w:spacing w:lineRule="auto" w:line="252" w:before="0" w:after="100"/>
              <w:rPr>
                <w:sz w:val="22"/>
                <w:szCs w:val="22"/>
              </w:rPr>
            </w:pPr>
            <w:r>
              <w:rPr>
                <w:sz w:val="22"/>
                <w:szCs w:val="22"/>
              </w:rPr>
              <w:t>Qwen/Qwen3-32B Base</w:t>
            </w:r>
          </w:p>
        </w:tc>
        <w:tc>
          <w:tcPr>
            <w:tcW w:w="6721" w:type="dxa"/>
            <w:tcBorders/>
            <w:vAlign w:val="center"/>
          </w:tcPr>
          <w:p>
            <w:pPr>
              <w:pStyle w:val="Normal"/>
              <w:spacing w:lineRule="auto" w:line="252" w:before="0" w:after="100"/>
              <w:rPr>
                <w:sz w:val="22"/>
                <w:szCs w:val="22"/>
              </w:rPr>
            </w:pPr>
            <w:r>
              <w:rPr>
                <w:sz w:val="22"/>
                <w:szCs w:val="22"/>
              </w:rPr>
              <w:t>top_k_context = 10, candidate_k = 30, max_new_tokens = 384, temperature = 0.2, top_p = 0.9, max_context_chars = 9000</w:t>
            </w:r>
          </w:p>
        </w:tc>
        <w:tc>
          <w:tcPr>
            <w:tcW w:w="4406" w:type="dxa"/>
            <w:tcBorders/>
            <w:vAlign w:val="center"/>
          </w:tcPr>
          <w:p>
            <w:pPr>
              <w:pStyle w:val="Normal"/>
              <w:spacing w:lineRule="auto" w:line="252" w:before="0" w:after="100"/>
              <w:rPr>
                <w:sz w:val="22"/>
                <w:szCs w:val="22"/>
              </w:rPr>
            </w:pPr>
            <w:r>
              <w:rPr>
                <w:sz w:val="22"/>
                <w:szCs w:val="22"/>
              </w:rPr>
              <w:t>Generates grounded answers using the retrieved legal context.</w:t>
            </w:r>
          </w:p>
        </w:tc>
      </w:tr>
      <w:tr>
        <w:trPr/>
        <w:tc>
          <w:tcPr>
            <w:tcW w:w="2164" w:type="dxa"/>
            <w:tcBorders/>
            <w:vAlign w:val="center"/>
          </w:tcPr>
          <w:p>
            <w:pPr>
              <w:pStyle w:val="Normal"/>
              <w:spacing w:lineRule="auto" w:line="252" w:before="0" w:after="100"/>
              <w:rPr>
                <w:sz w:val="22"/>
                <w:szCs w:val="22"/>
              </w:rPr>
            </w:pPr>
            <w:r>
              <w:rPr>
                <w:sz w:val="22"/>
                <w:szCs w:val="22"/>
              </w:rPr>
              <w:t>Fine-tuned RAG generation</w:t>
            </w:r>
          </w:p>
        </w:tc>
        <w:tc>
          <w:tcPr>
            <w:tcW w:w="1963" w:type="dxa"/>
            <w:tcBorders/>
            <w:vAlign w:val="center"/>
          </w:tcPr>
          <w:p>
            <w:pPr>
              <w:pStyle w:val="Normal"/>
              <w:spacing w:lineRule="auto" w:line="252" w:before="0" w:after="100"/>
              <w:rPr>
                <w:sz w:val="22"/>
                <w:szCs w:val="22"/>
              </w:rPr>
            </w:pPr>
            <w:r>
              <w:rPr>
                <w:sz w:val="22"/>
                <w:szCs w:val="22"/>
              </w:rPr>
              <w:t>Qwen/Qwen3-32B QLoRA</w:t>
            </w:r>
          </w:p>
        </w:tc>
        <w:tc>
          <w:tcPr>
            <w:tcW w:w="6721" w:type="dxa"/>
            <w:tcBorders/>
            <w:vAlign w:val="center"/>
          </w:tcPr>
          <w:p>
            <w:pPr>
              <w:pStyle w:val="Normal"/>
              <w:spacing w:lineRule="auto" w:line="252" w:before="0" w:after="100"/>
              <w:rPr>
                <w:sz w:val="22"/>
                <w:szCs w:val="22"/>
              </w:rPr>
            </w:pPr>
            <w:r>
              <w:rPr>
                <w:sz w:val="22"/>
                <w:szCs w:val="22"/>
              </w:rPr>
              <w:t>Same retrieval defaults as Base RAG</w:t>
            </w:r>
          </w:p>
        </w:tc>
        <w:tc>
          <w:tcPr>
            <w:tcW w:w="4406" w:type="dxa"/>
            <w:tcBorders/>
            <w:vAlign w:val="center"/>
          </w:tcPr>
          <w:p>
            <w:pPr>
              <w:pStyle w:val="Normal"/>
              <w:spacing w:lineRule="auto" w:line="252" w:before="0" w:after="100"/>
              <w:rPr>
                <w:sz w:val="22"/>
                <w:szCs w:val="22"/>
              </w:rPr>
            </w:pPr>
            <w:r>
              <w:rPr>
                <w:sz w:val="22"/>
                <w:szCs w:val="22"/>
              </w:rPr>
              <w:t>Used to compare the effect of LLM fine-tuning under the same retrieval setting.</w:t>
            </w:r>
          </w:p>
        </w:tc>
      </w:tr>
      <w:tr>
        <w:trPr/>
        <w:tc>
          <w:tcPr>
            <w:tcW w:w="2164" w:type="dxa"/>
            <w:tcBorders/>
            <w:vAlign w:val="center"/>
          </w:tcPr>
          <w:p>
            <w:pPr>
              <w:pStyle w:val="Normal"/>
              <w:spacing w:lineRule="auto" w:line="252" w:before="0" w:after="100"/>
              <w:rPr>
                <w:sz w:val="22"/>
                <w:szCs w:val="22"/>
              </w:rPr>
            </w:pPr>
            <w:r>
              <w:rPr>
                <w:sz w:val="22"/>
                <w:szCs w:val="22"/>
              </w:rPr>
              <w:t>LLM judge evaluation</w:t>
            </w:r>
          </w:p>
        </w:tc>
        <w:tc>
          <w:tcPr>
            <w:tcW w:w="1963" w:type="dxa"/>
            <w:tcBorders/>
            <w:vAlign w:val="center"/>
          </w:tcPr>
          <w:p>
            <w:pPr>
              <w:pStyle w:val="Normal"/>
              <w:spacing w:lineRule="auto" w:line="252" w:before="0" w:after="100"/>
              <w:rPr>
                <w:sz w:val="22"/>
                <w:szCs w:val="22"/>
              </w:rPr>
            </w:pPr>
            <w:r>
              <w:rPr>
                <w:sz w:val="22"/>
                <w:szCs w:val="22"/>
              </w:rPr>
              <w:t>Qwen/Qwen3-32B</w:t>
            </w:r>
          </w:p>
        </w:tc>
        <w:tc>
          <w:tcPr>
            <w:tcW w:w="6721" w:type="dxa"/>
            <w:tcBorders/>
            <w:vAlign w:val="center"/>
          </w:tcPr>
          <w:p>
            <w:pPr>
              <w:pStyle w:val="Normal"/>
              <w:spacing w:lineRule="auto" w:line="252" w:before="0" w:after="100"/>
              <w:rPr>
                <w:sz w:val="22"/>
                <w:szCs w:val="22"/>
              </w:rPr>
            </w:pPr>
            <w:r>
              <w:rPr>
                <w:sz w:val="22"/>
                <w:szCs w:val="22"/>
              </w:rPr>
              <w:t>4-bit loading, max_new_tokens = 256</w:t>
            </w:r>
          </w:p>
        </w:tc>
        <w:tc>
          <w:tcPr>
            <w:tcW w:w="4406" w:type="dxa"/>
            <w:tcBorders/>
            <w:vAlign w:val="center"/>
          </w:tcPr>
          <w:p>
            <w:pPr>
              <w:pStyle w:val="Normal"/>
              <w:spacing w:lineRule="auto" w:line="252" w:before="0" w:after="100"/>
              <w:rPr>
                <w:sz w:val="22"/>
                <w:szCs w:val="22"/>
              </w:rPr>
            </w:pPr>
            <w:r>
              <w:rPr>
                <w:sz w:val="22"/>
                <w:szCs w:val="22"/>
              </w:rPr>
              <w:t>Evaluates correctness, faithfulness, citation support, and hallucination risk.</w:t>
            </w:r>
          </w:p>
        </w:tc>
      </w:tr>
    </w:tbl>
    <w:p>
      <w:pPr>
        <w:pStyle w:val="Heading1"/>
        <w:widowControl/>
        <w:bidi w:val="0"/>
        <w:spacing w:lineRule="auto" w:line="276"/>
        <w:jc w:val="start"/>
        <w:rPr>
          <w:sz w:val="22"/>
          <w:szCs w:val="22"/>
        </w:rPr>
      </w:pPr>
      <w:r>
        <w:rPr>
          <w:rFonts w:eastAsia="Arial" w:ascii="Arial" w:hAnsi="Arial"/>
          <w:sz w:val="22"/>
          <w:szCs w:val="22"/>
        </w:rPr>
        <w:t>17. Fine-Tuning Hyperparameters</w:t>
      </w:r>
    </w:p>
    <w:tbl>
      <w:tblPr>
        <w:tblW w:w="15254" w:type="dxa"/>
        <w:jc w:val="start"/>
        <w:tblInd w:w="28" w:type="dxa"/>
        <w:tblLayout w:type="fixed"/>
        <w:tblCellMar>
          <w:top w:w="28" w:type="dxa"/>
          <w:start w:w="28" w:type="dxa"/>
          <w:bottom w:w="28" w:type="dxa"/>
          <w:end w:w="28" w:type="dxa"/>
        </w:tblCellMar>
      </w:tblPr>
      <w:tblGrid>
        <w:gridCol w:w="1519"/>
        <w:gridCol w:w="1684"/>
        <w:gridCol w:w="8574"/>
        <w:gridCol w:w="3477"/>
      </w:tblGrid>
      <w:tr>
        <w:trPr>
          <w:tblHeader w:val="true"/>
        </w:trPr>
        <w:tc>
          <w:tcPr>
            <w:tcW w:w="1519" w:type="dxa"/>
            <w:tcBorders/>
            <w:vAlign w:val="center"/>
          </w:tcPr>
          <w:p>
            <w:pPr>
              <w:pStyle w:val="Normal"/>
              <w:spacing w:lineRule="auto" w:line="252" w:before="0" w:after="100"/>
              <w:rPr>
                <w:b/>
                <w:bCs/>
                <w:sz w:val="22"/>
                <w:szCs w:val="22"/>
              </w:rPr>
            </w:pPr>
            <w:r>
              <w:rPr>
                <w:b/>
                <w:bCs/>
                <w:sz w:val="22"/>
                <w:szCs w:val="22"/>
              </w:rPr>
              <w:t>Fine-Tuning Stage</w:t>
            </w:r>
          </w:p>
        </w:tc>
        <w:tc>
          <w:tcPr>
            <w:tcW w:w="1684" w:type="dxa"/>
            <w:tcBorders/>
            <w:vAlign w:val="center"/>
          </w:tcPr>
          <w:p>
            <w:pPr>
              <w:pStyle w:val="Normal"/>
              <w:spacing w:lineRule="auto" w:line="252" w:before="0" w:after="100"/>
              <w:rPr>
                <w:b/>
                <w:bCs/>
                <w:sz w:val="22"/>
                <w:szCs w:val="22"/>
              </w:rPr>
            </w:pPr>
            <w:r>
              <w:rPr>
                <w:b/>
                <w:bCs/>
                <w:sz w:val="22"/>
                <w:szCs w:val="22"/>
              </w:rPr>
              <w:t>Model</w:t>
            </w:r>
          </w:p>
        </w:tc>
        <w:tc>
          <w:tcPr>
            <w:tcW w:w="8574" w:type="dxa"/>
            <w:tcBorders/>
            <w:vAlign w:val="center"/>
          </w:tcPr>
          <w:p>
            <w:pPr>
              <w:pStyle w:val="Normal"/>
              <w:spacing w:lineRule="auto" w:line="252" w:before="0" w:after="100"/>
              <w:rPr>
                <w:b/>
                <w:bCs/>
                <w:sz w:val="22"/>
                <w:szCs w:val="22"/>
              </w:rPr>
            </w:pPr>
            <w:r>
              <w:rPr>
                <w:b/>
                <w:bCs/>
                <w:sz w:val="22"/>
                <w:szCs w:val="22"/>
              </w:rPr>
              <w:t>Hyperparameters</w:t>
            </w:r>
          </w:p>
        </w:tc>
        <w:tc>
          <w:tcPr>
            <w:tcW w:w="3477" w:type="dxa"/>
            <w:tcBorders/>
            <w:vAlign w:val="center"/>
          </w:tcPr>
          <w:p>
            <w:pPr>
              <w:pStyle w:val="Normal"/>
              <w:spacing w:lineRule="auto" w:line="252" w:before="0" w:after="100"/>
              <w:rPr>
                <w:b/>
                <w:bCs/>
                <w:sz w:val="22"/>
                <w:szCs w:val="22"/>
              </w:rPr>
            </w:pPr>
            <w:r>
              <w:rPr>
                <w:b/>
                <w:bCs/>
                <w:sz w:val="22"/>
                <w:szCs w:val="22"/>
              </w:rPr>
              <w:t>Notes</w:t>
            </w:r>
          </w:p>
        </w:tc>
      </w:tr>
      <w:tr>
        <w:trPr/>
        <w:tc>
          <w:tcPr>
            <w:tcW w:w="1519" w:type="dxa"/>
            <w:tcBorders/>
            <w:vAlign w:val="center"/>
          </w:tcPr>
          <w:p>
            <w:pPr>
              <w:pStyle w:val="Normal"/>
              <w:spacing w:lineRule="auto" w:line="252" w:before="0" w:after="100"/>
              <w:rPr>
                <w:sz w:val="22"/>
                <w:szCs w:val="22"/>
              </w:rPr>
            </w:pPr>
            <w:r>
              <w:rPr>
                <w:sz w:val="22"/>
                <w:szCs w:val="22"/>
              </w:rPr>
              <w:t>LLM fine-tuning</w:t>
            </w:r>
          </w:p>
        </w:tc>
        <w:tc>
          <w:tcPr>
            <w:tcW w:w="1684" w:type="dxa"/>
            <w:tcBorders/>
            <w:vAlign w:val="center"/>
          </w:tcPr>
          <w:p>
            <w:pPr>
              <w:pStyle w:val="Normal"/>
              <w:spacing w:lineRule="auto" w:line="252" w:before="0" w:after="100"/>
              <w:rPr>
                <w:sz w:val="22"/>
                <w:szCs w:val="22"/>
              </w:rPr>
            </w:pPr>
            <w:r>
              <w:rPr>
                <w:sz w:val="22"/>
                <w:szCs w:val="22"/>
              </w:rPr>
              <w:t>Qwen/Qwen3-32B QLoRA</w:t>
            </w:r>
          </w:p>
        </w:tc>
        <w:tc>
          <w:tcPr>
            <w:tcW w:w="8574" w:type="dxa"/>
            <w:tcBorders/>
            <w:vAlign w:val="center"/>
          </w:tcPr>
          <w:p>
            <w:pPr>
              <w:pStyle w:val="Normal"/>
              <w:spacing w:lineRule="auto" w:line="252" w:before="0" w:after="100"/>
              <w:rPr>
                <w:sz w:val="22"/>
                <w:szCs w:val="22"/>
              </w:rPr>
            </w:pPr>
            <w:r>
              <w:rPr>
                <w:sz w:val="22"/>
                <w:szCs w:val="22"/>
              </w:rPr>
              <w:t>epochs = 1.0, learning_rate = 1e-4, per_device_train_batch_size = 1, per_device_eval_batch_size = 1, gradient_accumulation_steps = 16, max_length = 2048, lora_r = 32, lora_alpha = 64, lora_dropout = 0.05, 4-bit loading = enabled</w:t>
            </w:r>
          </w:p>
        </w:tc>
        <w:tc>
          <w:tcPr>
            <w:tcW w:w="3477" w:type="dxa"/>
            <w:tcBorders/>
            <w:vAlign w:val="center"/>
          </w:tcPr>
          <w:p>
            <w:pPr>
              <w:pStyle w:val="Normal"/>
              <w:spacing w:lineRule="auto" w:line="252" w:before="0" w:after="100"/>
              <w:rPr>
                <w:sz w:val="22"/>
                <w:szCs w:val="22"/>
              </w:rPr>
            </w:pPr>
            <w:r>
              <w:rPr>
                <w:sz w:val="22"/>
                <w:szCs w:val="22"/>
              </w:rPr>
              <w:t>Used for the final Base RAG vs Fine-tuned RAG comparison.</w:t>
            </w:r>
          </w:p>
        </w:tc>
      </w:tr>
      <w:tr>
        <w:trPr/>
        <w:tc>
          <w:tcPr>
            <w:tcW w:w="1519" w:type="dxa"/>
            <w:tcBorders/>
            <w:vAlign w:val="center"/>
          </w:tcPr>
          <w:p>
            <w:pPr>
              <w:pStyle w:val="Normal"/>
              <w:spacing w:lineRule="auto" w:line="252" w:before="0" w:after="100"/>
              <w:rPr>
                <w:sz w:val="22"/>
                <w:szCs w:val="22"/>
              </w:rPr>
            </w:pPr>
            <w:r>
              <w:rPr>
                <w:sz w:val="22"/>
                <w:szCs w:val="22"/>
              </w:rPr>
              <w:t>Embedding adaptation</w:t>
            </w:r>
          </w:p>
        </w:tc>
        <w:tc>
          <w:tcPr>
            <w:tcW w:w="1684" w:type="dxa"/>
            <w:tcBorders/>
            <w:vAlign w:val="center"/>
          </w:tcPr>
          <w:p>
            <w:pPr>
              <w:pStyle w:val="Normal"/>
              <w:spacing w:lineRule="auto" w:line="252" w:before="0" w:after="100"/>
              <w:rPr>
                <w:sz w:val="22"/>
                <w:szCs w:val="22"/>
              </w:rPr>
            </w:pPr>
            <w:r>
              <w:rPr>
                <w:sz w:val="22"/>
                <w:szCs w:val="22"/>
              </w:rPr>
              <w:t>Qwen/Qwen3-Embedding-8B</w:t>
            </w:r>
          </w:p>
        </w:tc>
        <w:tc>
          <w:tcPr>
            <w:tcW w:w="8574" w:type="dxa"/>
            <w:tcBorders/>
            <w:vAlign w:val="center"/>
          </w:tcPr>
          <w:p>
            <w:pPr>
              <w:pStyle w:val="Normal"/>
              <w:spacing w:lineRule="auto" w:line="252" w:before="0" w:after="100"/>
              <w:rPr>
                <w:sz w:val="22"/>
                <w:szCs w:val="22"/>
              </w:rPr>
            </w:pPr>
            <w:r>
              <w:rPr>
                <w:sz w:val="22"/>
                <w:szCs w:val="22"/>
              </w:rPr>
              <w:t>epochs = 1, batch_size = 1, warmup_ratio = 0.1, warmup_steps = 185, max_seq_length = 1024, lora_r = 32, lora_alpha = 64, lora_dropout = 0.05, hard negatives = used</w:t>
            </w:r>
          </w:p>
        </w:tc>
        <w:tc>
          <w:tcPr>
            <w:tcW w:w="3477" w:type="dxa"/>
            <w:tcBorders/>
            <w:vAlign w:val="center"/>
          </w:tcPr>
          <w:p>
            <w:pPr>
              <w:pStyle w:val="Normal"/>
              <w:spacing w:lineRule="auto" w:line="252" w:before="0" w:after="100"/>
              <w:rPr>
                <w:sz w:val="22"/>
                <w:szCs w:val="22"/>
              </w:rPr>
            </w:pPr>
            <w:r>
              <w:rPr>
                <w:sz w:val="22"/>
                <w:szCs w:val="22"/>
              </w:rPr>
              <w:t>Used to test domain adaptation and contrastive fine-tuning on the embedding layer.</w:t>
            </w:r>
          </w:p>
        </w:tc>
      </w:tr>
      <w:tr>
        <w:trPr/>
        <w:tc>
          <w:tcPr>
            <w:tcW w:w="1519" w:type="dxa"/>
            <w:tcBorders/>
            <w:vAlign w:val="center"/>
          </w:tcPr>
          <w:p>
            <w:pPr>
              <w:pStyle w:val="Normal"/>
              <w:spacing w:lineRule="auto" w:line="252" w:before="0" w:after="100"/>
              <w:rPr>
                <w:sz w:val="22"/>
                <w:szCs w:val="22"/>
              </w:rPr>
            </w:pPr>
            <w:r>
              <w:rPr>
                <w:sz w:val="22"/>
                <w:szCs w:val="22"/>
              </w:rPr>
              <w:t>Reranker adaptation</w:t>
            </w:r>
          </w:p>
        </w:tc>
        <w:tc>
          <w:tcPr>
            <w:tcW w:w="1684" w:type="dxa"/>
            <w:tcBorders/>
            <w:vAlign w:val="center"/>
          </w:tcPr>
          <w:p>
            <w:pPr>
              <w:pStyle w:val="Normal"/>
              <w:spacing w:lineRule="auto" w:line="252" w:before="0" w:after="100"/>
              <w:rPr>
                <w:sz w:val="22"/>
                <w:szCs w:val="22"/>
              </w:rPr>
            </w:pPr>
            <w:r>
              <w:rPr>
                <w:sz w:val="22"/>
                <w:szCs w:val="22"/>
              </w:rPr>
              <w:t>Qwen/Qwen3-Reranker-8B</w:t>
            </w:r>
          </w:p>
        </w:tc>
        <w:tc>
          <w:tcPr>
            <w:tcW w:w="8574" w:type="dxa"/>
            <w:tcBorders/>
            <w:vAlign w:val="center"/>
          </w:tcPr>
          <w:p>
            <w:pPr>
              <w:pStyle w:val="Normal"/>
              <w:spacing w:lineRule="auto" w:line="252" w:before="0" w:after="100"/>
              <w:rPr>
                <w:sz w:val="22"/>
                <w:szCs w:val="22"/>
              </w:rPr>
            </w:pPr>
            <w:r>
              <w:rPr>
                <w:sz w:val="22"/>
                <w:szCs w:val="22"/>
              </w:rPr>
              <w:t>epochs = 1, batch_size = 1, learning_rate = 1e-5, warmup_ratio = 0.1, warmup_steps = 607, gradient_accumulation_steps = 1, max_length = 2048, lora_r = 32, lora_alpha = 64, lora_dropout = 0.05</w:t>
            </w:r>
          </w:p>
        </w:tc>
        <w:tc>
          <w:tcPr>
            <w:tcW w:w="3477" w:type="dxa"/>
            <w:tcBorders/>
            <w:vAlign w:val="center"/>
          </w:tcPr>
          <w:p>
            <w:pPr>
              <w:pStyle w:val="Normal"/>
              <w:spacing w:lineRule="auto" w:line="252" w:before="0" w:after="100"/>
              <w:rPr>
                <w:sz w:val="22"/>
                <w:szCs w:val="22"/>
              </w:rPr>
            </w:pPr>
            <w:r>
              <w:rPr>
                <w:sz w:val="22"/>
                <w:szCs w:val="22"/>
              </w:rPr>
              <w:t>Used to test whether reranker fine-tuning improves ranking quality.</w:t>
            </w:r>
          </w:p>
        </w:tc>
      </w:tr>
    </w:tbl>
    <w:p>
      <w:pPr>
        <w:pStyle w:val="Normal"/>
        <w:spacing w:lineRule="auto" w:line="252" w:before="0" w:after="100"/>
        <w:rPr>
          <w:rFonts w:ascii="Arial" w:hAnsi="Arial" w:eastAsia="Arial"/>
          <w:sz w:val="22"/>
          <w:szCs w:val="22"/>
        </w:rPr>
      </w:pPr>
      <w:r>
        <w:rPr>
          <w:rFonts w:eastAsia="Arial"/>
          <w:sz w:val="22"/>
          <w:szCs w:val="22"/>
        </w:rPr>
      </w:r>
    </w:p>
    <w:p>
      <w:pPr>
        <w:pStyle w:val="Normal"/>
        <w:spacing w:lineRule="auto" w:line="252" w:before="0" w:after="100"/>
        <w:rPr>
          <w:sz w:val="22"/>
          <w:szCs w:val="22"/>
        </w:rPr>
      </w:pPr>
      <w:r>
        <w:rPr>
          <w:sz w:val="22"/>
          <w:szCs w:val="22"/>
        </w:rPr>
        <w:t xml:space="preserve">All main experiments in this project were executed in a Google Colab A100 GPU environment. This includes dense embedding generation, corpus indexing, reranker evaluation, Qwen-based RAG generation, QLoRA fine-tuning, embedding adaptation, reranker adaptation, and LLM-judge evaluation. BM25 retrieval does not inherently require GPU acceleration, but it was also executed inside the same Colab-based experimental workflow. This setup ensured that both lightweight retrieval baselines and heavy multi-billion-parameter model experiments were tested under a consistent and reproducible Colab environment. </w:t>
      </w:r>
    </w:p>
    <w:p>
      <w:pPr>
        <w:pStyle w:val="Heading1"/>
        <w:rPr>
          <w:sz w:val="22"/>
          <w:szCs w:val="22"/>
        </w:rPr>
      </w:pPr>
      <w:r>
        <w:rPr>
          <w:rFonts w:eastAsia="Arial" w:ascii="Arial" w:hAnsi="Arial"/>
          <w:sz w:val="22"/>
          <w:szCs w:val="22"/>
        </w:rPr>
        <w:t>18. Limitations and Future Work</w:t>
      </w:r>
    </w:p>
    <w:p>
      <w:pPr>
        <w:pStyle w:val="Normal"/>
        <w:spacing w:lineRule="auto" w:line="252" w:before="0" w:after="100"/>
        <w:rPr>
          <w:sz w:val="22"/>
          <w:szCs w:val="22"/>
        </w:rPr>
      </w:pPr>
      <w:r>
        <w:rPr>
          <w:rFonts w:eastAsia="Arial"/>
          <w:sz w:val="22"/>
          <w:szCs w:val="22"/>
        </w:rPr>
        <w:t>Although strong results were obtained in this study, there are some limitations. First, the benchmark is limited to 190 questions. Although this number provides a sufficient starting point for comparing systems, a broader benchmark covering different legal fields would increase the generalizability of the results.</w:t>
      </w:r>
    </w:p>
    <w:p>
      <w:pPr>
        <w:pStyle w:val="Normal"/>
        <w:spacing w:lineRule="auto" w:line="252" w:before="0" w:after="100"/>
        <w:rPr>
          <w:sz w:val="22"/>
          <w:szCs w:val="22"/>
        </w:rPr>
      </w:pPr>
      <w:r>
        <w:rPr>
          <w:rFonts w:eastAsia="Arial"/>
          <w:sz w:val="22"/>
          <w:szCs w:val="22"/>
        </w:rPr>
        <w:t>Second, citation and hallucination analyses are largely based on deterministic proxy metrics and LLM judge evaluation. Although this approach provides systematic measurement, supporting it with expert human evaluation in the legal domain would further increase final reliability.</w:t>
      </w:r>
    </w:p>
    <w:p>
      <w:pPr>
        <w:pStyle w:val="Normal"/>
        <w:spacing w:lineRule="auto" w:line="252" w:before="0" w:after="100"/>
        <w:rPr>
          <w:sz w:val="22"/>
          <w:szCs w:val="22"/>
        </w:rPr>
      </w:pPr>
      <w:r>
        <w:rPr>
          <w:rFonts w:eastAsia="Arial"/>
          <w:sz w:val="22"/>
          <w:szCs w:val="22"/>
        </w:rPr>
        <w:t>Third, fine-tuning experiments did not always provide the expected improvement. In particular, embedding tuning and reranker tuning could not surpass the zero-shot Qwen3 retrieval stack. This shows that the quality of tuning data, its alignment with the task, and the selection of hard negatives should be optimized more carefully.</w:t>
      </w:r>
    </w:p>
    <w:p>
      <w:pPr>
        <w:pStyle w:val="Normal"/>
        <w:spacing w:lineRule="auto" w:line="252" w:before="0" w:after="100"/>
        <w:rPr>
          <w:sz w:val="22"/>
          <w:szCs w:val="22"/>
        </w:rPr>
      </w:pPr>
      <w:r>
        <w:rPr>
          <w:rFonts w:eastAsia="Arial"/>
          <w:sz w:val="22"/>
          <w:szCs w:val="22"/>
        </w:rPr>
        <w:t>The following improvements can be made in future work: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Development Area</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Larger benchmark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More questions from different legal fields can be added.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Human expert evaluation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Answers and citations can be checked by lawyers or legal experts.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Better tuning 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Higher-quality hard negative sets can be prepared for embedding and reranker tuning.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verification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article-level correctness of generated citations can be measured separately and manually.</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Real usage testing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system can be tested with sample questions in law office scenarios.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Field-based analysis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Separate performance reports can be produced for fields such as labor law, commercial law, and tenancy law.</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limitations do not indicate that the system is unsuccessful; rather, they show the areas where the current study can be further strengthened. The current results show that the system forms a strong foundation, especially in terms of retrieval and grounded generation.</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Fine-Tuning Did Not Always Improve Performance</w:t>
      </w:r>
    </w:p>
    <w:p>
      <w:pPr>
        <w:pStyle w:val="Normal"/>
        <w:spacing w:lineRule="auto" w:line="252" w:before="0" w:after="100"/>
        <w:rPr>
          <w:sz w:val="22"/>
        </w:rPr>
      </w:pPr>
      <w:r>
        <w:rPr>
          <w:sz w:val="22"/>
        </w:rPr>
        <w:t>The experiments showed that fine-tuning does not automatically improve every component of a RAG system. While QLoRA fine-tuning improved answer-overlap metrics and slightly improved semantic similarity, embedding and reranker tuning did not outperform the zero-shot Qwen3 retrieval stack.</w:t>
      </w:r>
    </w:p>
    <w:p>
      <w:pPr>
        <w:pStyle w:val="Normal"/>
        <w:spacing w:lineRule="auto" w:line="252" w:before="0" w:after="100"/>
        <w:rPr>
          <w:sz w:val="22"/>
        </w:rPr>
      </w:pPr>
      <w:r>
        <w:rPr>
          <w:sz w:val="22"/>
        </w:rPr>
        <w:t>This result is important because the Qwen3 embedding and reranker models already provide strong zero-shot retrieval performance. When the tuning data is smaller, noisier, or not perfectly aligned with the target benchmark distribution, fine-tuning may narrow the model's behavior and reduce general retrieval quality.</w:t>
      </w:r>
    </w:p>
    <w:p>
      <w:pPr>
        <w:pStyle w:val="Normal"/>
        <w:spacing w:lineRule="auto" w:line="252" w:before="0" w:after="100"/>
        <w:rPr>
          <w:sz w:val="22"/>
        </w:rPr>
      </w:pPr>
      <w:r>
        <w:rPr>
          <w:sz w:val="22"/>
        </w:rPr>
        <w:t>Therefore, the final system was selected according to measured benchmark performance rather than the assumption that the most fine-tuned system must be the best system.</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Style w:val="Strong"/>
          <w:b/>
          <w:bCs/>
        </w:rPr>
        <w:t>Prompt-Style Ablation: Citation-Aware Prompt vs Concise Benchmark-Style Prompt</w:t>
      </w:r>
    </w:p>
    <w:p>
      <w:pPr>
        <w:pStyle w:val="Normal"/>
        <w:spacing w:lineRule="auto" w:line="252" w:before="0" w:after="100"/>
        <w:rPr>
          <w:sz w:val="22"/>
        </w:rPr>
      </w:pPr>
      <w:r>
        <w:rPr>
          <w:sz w:val="22"/>
        </w:rPr>
        <w:t>In addition to model and retrieval ablations, a prompt-style ablation was conducted to measure how the answer format affects lexical QA metrics and grounding-oriented reliability metrics. The original final system used a citation-aware legal RAG prompt that encouraged the model to provide a short answer, legal reasoning, supporting articles, and limitations. This format was useful from a legal reliability perspective, but it produced longer answers than the gold benchmark responses.</w:t>
      </w:r>
    </w:p>
    <w:p>
      <w:pPr>
        <w:pStyle w:val="Normal"/>
        <w:spacing w:lineRule="auto" w:line="252" w:before="0" w:after="100"/>
        <w:rPr>
          <w:sz w:val="22"/>
        </w:rPr>
      </w:pPr>
      <w:r>
        <w:rPr>
          <w:sz w:val="22"/>
        </w:rPr>
        <w:t>A second prompt was therefore tested with the same retrieval outputs, same benchmark, and same Qwen3-32B Base model. In this ablation, the model was instructed to answer in a shorter benchmark-style format: give the final answer in the first sentence, avoid unnecessary explanation, use at most 2-3 sentences, and include the supporting legal article at the end.</w:t>
      </w:r>
    </w:p>
    <w:tbl>
      <w:tblPr>
        <w:tblW w:w="8996" w:type="dxa"/>
        <w:jc w:val="start"/>
        <w:tblInd w:w="60" w:type="dxa"/>
        <w:tblLayout w:type="fixed"/>
        <w:tblCellMar>
          <w:top w:w="60" w:type="dxa"/>
          <w:start w:w="60" w:type="dxa"/>
          <w:bottom w:w="60" w:type="dxa"/>
          <w:end w:w="60" w:type="dxa"/>
        </w:tblCellMar>
      </w:tblPr>
      <w:tblGrid>
        <w:gridCol w:w="2820"/>
        <w:gridCol w:w="2162"/>
        <w:gridCol w:w="3166"/>
        <w:gridCol w:w="848"/>
      </w:tblGrid>
      <w:tr>
        <w:trPr>
          <w:tblHeader w:val="true"/>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Metric</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Citation-Aware Prompt</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Concise Benchmark-Style Prompt</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Change</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Exact Match</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Token F1</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0.145</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0.327</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+0.182</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ROUGE-L</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0.123</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0.292</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+0.168</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Retrieval Gold Available</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0.874</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0.874</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Citation Present</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0.984</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0.732</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-0.253</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Citation Gold Match</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0.821</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0.679</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-0.142</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Grounded Citation Score</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0.805</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0.505</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-0.300</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Unsupported or Missing Citation</w:t>
            </w:r>
          </w:p>
        </w:tc>
        <w:tc>
          <w:tcPr>
            <w:tcW w:w="21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0.142</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0.347</w:t>
            </w:r>
          </w:p>
        </w:tc>
        <w:tc>
          <w:tcPr>
            <w:tcW w:w="84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+0.205</w:t>
            </w:r>
          </w:p>
        </w:tc>
      </w:tr>
    </w:tbl>
    <w:p>
      <w:pPr>
        <w:pStyle w:val="Normal"/>
        <w:spacing w:lineRule="auto" w:line="252" w:before="0" w:after="100"/>
        <w:rPr>
          <w:sz w:val="22"/>
        </w:rPr>
      </w:pPr>
      <w:r>
        <w:rPr>
          <w:sz w:val="22"/>
        </w:rPr>
      </w:r>
    </w:p>
    <w:p>
      <w:pPr>
        <w:pStyle w:val="Normal"/>
        <w:spacing w:lineRule="auto" w:line="252" w:before="0" w:after="100"/>
        <w:rPr>
          <w:sz w:val="22"/>
        </w:rPr>
      </w:pPr>
      <w:r>
        <w:rPr>
          <w:sz w:val="22"/>
        </w:rPr>
        <w:t>The results show that prompt style has a strong effect on lexical-overlap metrics. When the model was forced to answer in a shorter and more benchmark-like format, Token F1 increased from 0.145 to 0.327 and ROUGE-L increased from 0.123 to 0.292. This confirms that the relatively low lexical scores of the original final system were partly caused by answer format mismatch rather than only answer quality.</w:t>
      </w:r>
    </w:p>
    <w:p>
      <w:pPr>
        <w:pStyle w:val="Normal"/>
        <w:spacing w:lineRule="auto" w:line="252" w:before="0" w:after="100"/>
        <w:rPr>
          <w:sz w:val="22"/>
        </w:rPr>
      </w:pPr>
      <w:r>
        <w:rPr>
          <w:sz w:val="22"/>
        </w:rPr>
        <w:t>However, the concise prompt also reduced citation reliability. Citation presence decreased from 0.984 to 0.732, citation gold match decreased from 0.821 to 0.679, and grounded citation score decreased from 0.805 to 0.505. Therefore, the concise prompt improved surface-level similarity to the gold answers, but weakened the legal grounding behavior of the system.</w:t>
      </w:r>
    </w:p>
    <w:p>
      <w:pPr>
        <w:pStyle w:val="Normal"/>
        <w:spacing w:lineRule="auto" w:line="252" w:before="0" w:after="100"/>
        <w:rPr>
          <w:sz w:val="22"/>
        </w:rPr>
      </w:pPr>
      <w:r>
        <w:rPr>
          <w:sz w:val="22"/>
        </w:rPr>
        <w:t>For this reason, the concise prompt was interpreted as a prompt-style ablation rather than the final production configuration. The final system remains the citation-aware Qwen3-32B Base RAG system, because the project prioritizes legally grounded and citation-supported answers over maximizing lexical overlap alone.</w:t>
      </w:r>
    </w:p>
    <w:p>
      <w:pPr>
        <w:pStyle w:val="Heading1"/>
        <w:rPr>
          <w:sz w:val="22"/>
          <w:szCs w:val="22"/>
        </w:rPr>
      </w:pPr>
      <w:r>
        <w:rPr>
          <w:rFonts w:eastAsia="Arial" w:ascii="Arial" w:hAnsi="Arial"/>
          <w:sz w:val="22"/>
          <w:szCs w:val="22"/>
        </w:rPr>
        <w:t>19. General Conclusion</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This project has shown that developing a reliable Retrieval-Augmented Generation system in the Turkish legal domain cannot be solved only by increasing model size or applying fine-tuning. Legal RAG requires a complete pipeline in which corpus quality, article-level retrieval, reranking, answer generation, citation production, grounding, and hallucination risk are evaluated together. For this reason, the project was designed as an end-to-end ablation study rather than a single model comparison.</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At the beginning of the project, the old Kaggle-only baseline provided a useful starting point but was not sufficient for legal grounding. Although this baseline appeared partially reasonable at the document level, it was very weak at the article level. This distinction is especially important in the legal domain because retrieving the correct law family is not enough; the system must also retrieve the correct legal article. A response that sounds plausible but is based on the wrong article cannot be considered reliable legal assistance.</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The first major improvement came from corpus normalization. The raw legal data included official legal provisions, QA-like rows, repeated records, amendment fragments, and inconsistent text structures. By separating official article-level legal records from auxiliary data and constructing the official-law article corpus v3, the retrieval problem became much cleaner and more measurable. This step was one of the most important engineering contributions of the project. The improvement from the old Kaggle-only baseline to the final normalized official-law retrieval stack shows that data structuring can be more important than model size alone.</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Retrieval experiments were then conducted through a systematic ablation chain. BM25, dense retrieval, hybrid retrieval, stronger embedding models, reranking, embedding tuning, and reranker tuning were evaluated on the same benchmark. The strongest retrieval system was Qwen3-Embedding-8B dense retrieval with top-30 candidates followed by Qwen3-Reranker-8B top-10 reranking. This configuration reached strong article-level results, including article_hit@5 = 0.837, article_hit@10 = 0.874, article_mrr = 0.701, and article_ndcg@10 = 0.743. These results show that the final system substantially improved the ability to retrieve the correct legal article, not only the correct document.</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Fine-tuning experiments provided a more nuanced result. Embedding tuning and reranker tuning were successfully implemented, but they did not outperform the zero-shot Qwen3 retrieval stack. The stricter external-mapped fine-tuning setup confirmed the same finding. Although external examples were mapped to the official article schema in a cleaner and more methodologically defensible way, the tuned embedding and reranker variants still remained below the zero-shot Qwen3 retrieval system. This shows that fine-tuning does not automatically improve retrieval performance, especially when the base embedding and reranker models are already strong and the tuning data is smaller or distribution-mismatched.</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On the generation side, the effect of fine-tuning was different. Qwen3-32B QLoRA improved lexical answer-overlap metrics compared with the base Qwen3-32B RAG system. Token F1 increased from 0.1449 to 0.1914, and ROUGE-L increased from 0.1233 to 0.1674. In addition, answer-level semantic similarity, computed with Qwen3-Embedding-8B between generated answers and gold answers, slightly increased from 0.7890 to 0.7908. This indicates that fine-tuning made the generated answers closer to the gold answers both lexically and, to a smaller extent, semantically.</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However, the generation-side improvement also introduced an important trade-off. Although QLoRA improved answer similarity metrics, it reduced citation and grounding reliability. The base Qwen3-32B RAG system achieved stronger citation_gold_match and grounded_citation_score values than the fine-tuned generator. In a legal RAG system, this distinction is critical. A fluent answer that is semantically close to the expected answer may increase user trust, but if it is not correctly grounded in legal sources, it may create false confidence. Therefore, the final system could not be selected only according to Token F1, ROUGE-L, or semantic similarity.</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The hallucination and grounding analysis supported this conclusion. The base Qwen3-32B RAG system showed a safer profile in terms of missing citations, wrong or unsupported citations, and grounded citation score. This is why the final selected system was not the most fine-tuned system and not the system with the highest lexical overlap. Instead, the final system was selected as Qwen3-Embedding-8B + Qwen3-Reranker-8B + Qwen3-32B Base, because it provided the best balance between article-level retrieval, citation correctness, grounded generation, and low hallucination risk.</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Another important contribution of the project is that the system was made usable with instructor-provided custom data. The custom evaluation pipeline allows external documents and benchmark questions to be placed into the project structure and evaluated through the same RAG pipeline. This means the system is not limited to the original benchmark; it can also be tested on new legal document collections and new question-answer sets. This directly supports the requirement that the RAG system should be runnable on custom document collections and custom benchmarks.</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Overall, this study presents a measurable, comparable, and reliability-oriented Turkish legal RAG system. The project demonstrates that legal RAG performance should be evaluated across multiple dimensions: retrieval accuracy, article-level grounding, generation quality, semantic similarity, citation correctness, and hallucination risk. The final result is not simply a model that produces fluent answers, but a system whose components were tested through ablation studies and whose final configuration was selected based on measured reliability. The main lesson of the project is that, in the legal domain, the safest system is not necessarily the most fine-tuned one, but the one that best balances answer quality with source-grounded legal reliability.</w:t>
      </w:r>
    </w:p>
    <w:p>
      <w:pPr>
        <w:pStyle w:val="Normal"/>
        <w:spacing w:lineRule="auto" w:line="252" w:before="0" w:after="100"/>
        <w:rPr>
          <w:sz w:val="22"/>
          <w:szCs w:val="22"/>
        </w:rPr>
      </w:pPr>
      <w:r>
        <w:rPr>
          <w:sz w:val="22"/>
          <w:szCs w:val="22"/>
        </w:rPr>
      </w:r>
    </w:p>
    <w:p>
      <w:pPr>
        <w:pStyle w:val="Heading1"/>
        <w:widowControl/>
        <w:bidi w:val="0"/>
        <w:spacing w:lineRule="auto" w:line="276"/>
        <w:jc w:val="start"/>
        <w:rPr>
          <w:rFonts w:ascii="Arial" w:hAnsi="Arial" w:eastAsia="Arial"/>
          <w:sz w:val="22"/>
          <w:szCs w:val="22"/>
        </w:rPr>
      </w:pPr>
      <w:r>
        <w:rPr>
          <w:rFonts w:eastAsia="Arial" w:cs="" w:ascii="Arial" w:hAnsi="Arial" w:cstheme="majorBidi"/>
          <w:b/>
          <w:bCs/>
          <w:color w:themeColor="accent1" w:themeShade="bf" w:val="365F91"/>
          <w:kern w:val="0"/>
          <w:sz w:val="22"/>
          <w:szCs w:val="22"/>
          <w:lang w:val="en-US" w:eastAsia="en-US" w:bidi="ar-SA"/>
        </w:rPr>
        <w:t xml:space="preserve">Appendix A. </w:t>
      </w:r>
      <w:r>
        <w:rPr>
          <w:rFonts w:eastAsia="Arial" w:ascii="Arial" w:hAnsi="Arial"/>
          <w:sz w:val="22"/>
          <w:szCs w:val="22"/>
        </w:rPr>
        <w:t xml:space="preserve">Base RAG Question-Answer Outputs and Retrieved Source </w:t>
      </w:r>
    </w:p>
    <w:p>
      <w:pPr>
        <w:pStyle w:val="Normal"/>
        <w:widowControl/>
        <w:bidi w:val="0"/>
        <w:spacing w:lineRule="auto" w:line="276"/>
        <w:jc w:val="start"/>
        <w:rPr>
          <w:rFonts w:ascii="Arial" w:hAnsi="Arial" w:eastAsia="Arial"/>
          <w:sz w:val="22"/>
          <w:szCs w:val="22"/>
        </w:rPr>
      </w:pPr>
      <w:r>
        <w:rPr>
          <w:rFonts w:eastAsia="Arial"/>
          <w:sz w:val="22"/>
          <w:szCs w:val="22"/>
        </w:rPr>
        <w:drawing>
          <wp:anchor distT="0" distB="0" distL="0" distR="0" simplePos="0" relativeHeight="3" behindDoc="0" locked="0" layoutInCell="0" allowOverlap="1">
            <wp:simplePos x="0" y="0"/>
            <wp:positionH relativeFrom="column">
              <wp:posOffset>-502920</wp:posOffset>
            </wp:positionH>
            <wp:positionV relativeFrom="paragraph">
              <wp:posOffset>3194050</wp:posOffset>
            </wp:positionV>
            <wp:extent cx="10691495" cy="2691765"/>
            <wp:effectExtent l="0" t="0" r="0" b="0"/>
            <wp:wrapSquare wrapText="largest"/>
            <wp:docPr id="1"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5"/>
                    <pic:cNvPicPr>
                      <a:picLocks noChangeAspect="1" noChangeArrowheads="1"/>
                    </pic:cNvPicPr>
                  </pic:nvPicPr>
                  <pic:blipFill>
                    <a:blip r:embed="rId2"/>
                    <a:stretch>
                      <a:fillRect/>
                    </a:stretch>
                  </pic:blipFill>
                  <pic:spPr bwMode="auto">
                    <a:xfrm>
                      <a:off x="0" y="0"/>
                      <a:ext cx="10691495" cy="269176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-502920</wp:posOffset>
            </wp:positionH>
            <wp:positionV relativeFrom="paragraph">
              <wp:posOffset>291465</wp:posOffset>
            </wp:positionV>
            <wp:extent cx="10661015" cy="2766695"/>
            <wp:effectExtent l="0" t="0" r="0" b="0"/>
            <wp:wrapSquare wrapText="largest"/>
            <wp:docPr id="2"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6"/>
                    <pic:cNvPicPr>
                      <a:picLocks noChangeAspect="1" noChangeArrowheads="1"/>
                    </pic:cNvPicPr>
                  </pic:nvPicPr>
                  <pic:blipFill>
                    <a:blip r:embed="rId3"/>
                    <a:stretch>
                      <a:fillRect/>
                    </a:stretch>
                  </pic:blipFill>
                  <pic:spPr bwMode="auto">
                    <a:xfrm>
                      <a:off x="0" y="0"/>
                      <a:ext cx="10661015" cy="2766695"/>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2" behindDoc="0" locked="0" layoutInCell="0" allowOverlap="1">
            <wp:simplePos x="0" y="0"/>
            <wp:positionH relativeFrom="column">
              <wp:posOffset>-502920</wp:posOffset>
            </wp:positionH>
            <wp:positionV relativeFrom="paragraph">
              <wp:posOffset>-465455</wp:posOffset>
            </wp:positionV>
            <wp:extent cx="10692130" cy="2449830"/>
            <wp:effectExtent l="0" t="0" r="0" b="0"/>
            <wp:wrapSquare wrapText="largest"/>
            <wp:docPr id="3"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1"/>
                    <pic:cNvPicPr>
                      <a:picLocks noChangeAspect="1" noChangeArrowheads="1"/>
                    </pic:cNvPicPr>
                  </pic:nvPicPr>
                  <pic:blipFill>
                    <a:blip r:embed="rId4"/>
                    <a:stretch>
                      <a:fillRect/>
                    </a:stretch>
                  </pic:blipFill>
                  <pic:spPr bwMode="auto">
                    <a:xfrm>
                      <a:off x="0" y="0"/>
                      <a:ext cx="10692130" cy="2449830"/>
                    </a:xfrm>
                    <a:prstGeom prst="rect">
                      <a:avLst/>
                    </a:prstGeom>
                    <a:noFill/>
                  </pic:spPr>
                </pic:pic>
              </a:graphicData>
            </a:graphic>
          </wp:anchor>
        </w:drawing>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Appendix B. Fine-Tuned RAG Question-Answer Outputs and Retrieved Source</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drawing>
          <wp:anchor distT="0" distB="0" distL="0" distR="0" simplePos="0" relativeHeight="6" behindDoc="0" locked="0" layoutInCell="0" allowOverlap="1">
            <wp:simplePos x="0" y="0"/>
            <wp:positionH relativeFrom="column">
              <wp:posOffset>-172720</wp:posOffset>
            </wp:positionH>
            <wp:positionV relativeFrom="paragraph">
              <wp:posOffset>158115</wp:posOffset>
            </wp:positionV>
            <wp:extent cx="9989820" cy="2971800"/>
            <wp:effectExtent l="0" t="0" r="0" b="0"/>
            <wp:wrapSquare wrapText="largest"/>
            <wp:docPr id="4"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2"/>
                    <pic:cNvPicPr>
                      <a:picLocks noChangeAspect="1" noChangeArrowheads="1"/>
                    </pic:cNvPicPr>
                  </pic:nvPicPr>
                  <pic:blipFill>
                    <a:blip r:embed="rId5"/>
                    <a:stretch>
                      <a:fillRect/>
                    </a:stretch>
                  </pic:blipFill>
                  <pic:spPr bwMode="auto">
                    <a:xfrm>
                      <a:off x="0" y="0"/>
                      <a:ext cx="9989820" cy="2971800"/>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5" behindDoc="0" locked="0" layoutInCell="0" allowOverlap="1">
            <wp:simplePos x="0" y="0"/>
            <wp:positionH relativeFrom="column">
              <wp:posOffset>91440</wp:posOffset>
            </wp:positionH>
            <wp:positionV relativeFrom="paragraph">
              <wp:posOffset>-203200</wp:posOffset>
            </wp:positionV>
            <wp:extent cx="8956675" cy="3845560"/>
            <wp:effectExtent l="0" t="0" r="0" b="0"/>
            <wp:wrapSquare wrapText="largest"/>
            <wp:docPr id="5"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7"/>
                    <pic:cNvPicPr>
                      <a:picLocks noChangeAspect="1" noChangeArrowheads="1"/>
                    </pic:cNvPicPr>
                  </pic:nvPicPr>
                  <pic:blipFill>
                    <a:blip r:embed="rId6"/>
                    <a:stretch>
                      <a:fillRect/>
                    </a:stretch>
                  </pic:blipFill>
                  <pic:spPr bwMode="auto">
                    <a:xfrm>
                      <a:off x="0" y="0"/>
                      <a:ext cx="8956675" cy="3845560"/>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pPr>
      <w:r>
        <w:rPr>
          <w:rStyle w:val="Strong"/>
          <w:rFonts w:eastAsia="Arial" w:cs="" w:ascii="Arial" w:hAnsi="Arial" w:cstheme="majorBidi"/>
          <w:b/>
          <w:bCs/>
          <w:color w:themeColor="accent1" w:themeShade="bf" w:val="365F91"/>
          <w:kern w:val="0"/>
          <w:sz w:val="22"/>
          <w:szCs w:val="22"/>
          <w:lang w:val="en-US" w:eastAsia="en-US" w:bidi="ar-SA"/>
        </w:rPr>
        <w:t>Appendix C.</w:t>
      </w:r>
      <w:r>
        <w:rPr>
          <w:rFonts w:eastAsia="Arial" w:ascii="Arial" w:hAnsi="Arial"/>
          <w:sz w:val="22"/>
          <w:szCs w:val="22"/>
        </w:rPr>
        <w:t xml:space="preserve"> </w:t>
      </w:r>
      <w:r>
        <w:rPr>
          <w:rStyle w:val="Strong"/>
          <w:rFonts w:eastAsia="Arial" w:ascii="Arial" w:hAnsi="Arial"/>
          <w:b/>
          <w:bCs/>
          <w:sz w:val="22"/>
          <w:szCs w:val="22"/>
        </w:rPr>
        <w:t>Qualitative Comparison of Base and Fine-Tuned Responses</w:t>
      </w:r>
      <w:r>
        <w:rPr>
          <w:rFonts w:eastAsia="Arial" w:ascii="Arial" w:hAnsi="Arial"/>
          <w:sz w:val="22"/>
          <w:szCs w:val="22"/>
        </w:rPr>
        <w:t xml:space="preserve"> And More Spesific Question On Base Rag</w:t>
      </w:r>
    </w:p>
    <w:p>
      <w:pPr>
        <w:pStyle w:val="Normal"/>
        <w:spacing w:lineRule="auto" w:line="252" w:before="0" w:after="100"/>
        <w:rPr/>
      </w:pPr>
      <w:r>
        <w:rPr/>
      </w:r>
    </w:p>
    <w:p>
      <w:pPr>
        <w:pStyle w:val="Normal"/>
        <w:spacing w:lineRule="auto" w:line="252" w:before="0" w:after="100"/>
        <w:rPr>
          <w:sz w:val="22"/>
          <w:szCs w:val="22"/>
        </w:rPr>
      </w:pPr>
      <w:r>
        <w:rPr>
          <w:sz w:val="22"/>
          <w:szCs w:val="22"/>
        </w:rPr>
        <w:t>In our qualitative comparison on the question of individual application to the Constitutional Court, the base Qwen3-32B system produced a more structured and practically useful answer than the fine-tuned variant. While the fine-tuned model tended to provide a broader and more verbose explanation, it also introduced a noisier list of supporting provisions and less focused legal grounding. By contrast, the base model gave a clearer procedural summary, organized the conditions more coherently, and relied on a more disciplined citation pattern. This example is consistent with our quantitative findings: although QLoRA fine-tuning improved overlap-based metrics such as Token F1 and ROUGE-L on average, the base model remained stronger in citation-grounding quality and overall legal reliability.</w:t>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drawing>
          <wp:anchor distT="0" distB="0" distL="0" distR="0" simplePos="0" relativeHeight="7" behindDoc="0" locked="0" layoutInCell="0" allowOverlap="1">
            <wp:simplePos x="0" y="0"/>
            <wp:positionH relativeFrom="column">
              <wp:posOffset>-502920</wp:posOffset>
            </wp:positionH>
            <wp:positionV relativeFrom="paragraph">
              <wp:posOffset>-209550</wp:posOffset>
            </wp:positionV>
            <wp:extent cx="10691495" cy="4884420"/>
            <wp:effectExtent l="0" t="0" r="0" b="0"/>
            <wp:wrapSquare wrapText="largest"/>
            <wp:docPr id="6"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3"/>
                    <pic:cNvPicPr>
                      <a:picLocks noChangeAspect="1" noChangeArrowheads="1"/>
                    </pic:cNvPicPr>
                  </pic:nvPicPr>
                  <pic:blipFill>
                    <a:blip r:embed="rId7"/>
                    <a:stretch>
                      <a:fillRect/>
                    </a:stretch>
                  </pic:blipFill>
                  <pic:spPr bwMode="auto">
                    <a:xfrm>
                      <a:off x="0" y="0"/>
                      <a:ext cx="10691495" cy="4884420"/>
                    </a:xfrm>
                    <a:prstGeom prst="rect">
                      <a:avLst/>
                    </a:prstGeom>
                    <a:noFill/>
                  </pic:spPr>
                </pic:pic>
              </a:graphicData>
            </a:graphic>
          </wp:anchor>
        </w:drawing>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r>
    </w:p>
    <w:p>
      <w:pPr>
        <w:pStyle w:val="Heading1"/>
        <w:widowControl/>
        <w:bidi w:val="0"/>
        <w:spacing w:lineRule="auto" w:line="276"/>
        <w:jc w:val="start"/>
        <w:rPr/>
      </w:pPr>
      <w:r>
        <w:rPr>
          <w:rStyle w:val="Strong"/>
          <w:rFonts w:eastAsia="Arial" w:ascii="Arial" w:hAnsi="Arial"/>
          <w:b/>
          <w:bCs/>
          <w:sz w:val="22"/>
          <w:szCs w:val="22"/>
        </w:rPr>
        <w:t>Appendix D. Specific Question Generation On Base RAG</w:t>
      </w:r>
    </w:p>
    <w:p>
      <w:pPr>
        <w:pStyle w:val="Normal"/>
        <w:widowControl/>
        <w:bidi w:val="0"/>
        <w:spacing w:lineRule="auto" w:line="276"/>
        <w:jc w:val="start"/>
        <w:rPr>
          <w:rStyle w:val="Strong"/>
          <w:rFonts w:ascii="Arial" w:hAnsi="Arial" w:eastAsia="Arial"/>
          <w:b/>
          <w:bCs/>
          <w:sz w:val="22"/>
          <w:szCs w:val="22"/>
        </w:rPr>
      </w:pPr>
      <w:r>
        <w:rPr>
          <w:rFonts w:eastAsia="Arial"/>
          <w:b/>
          <w:bCs/>
          <w:sz w:val="22"/>
          <w:szCs w:val="22"/>
        </w:rPr>
        <w:drawing>
          <wp:anchor distT="0" distB="0" distL="0" distR="0" simplePos="0" relativeHeight="8" behindDoc="0" locked="0" layoutInCell="0" allowOverlap="1">
            <wp:simplePos x="0" y="0"/>
            <wp:positionH relativeFrom="column">
              <wp:posOffset>-74930</wp:posOffset>
            </wp:positionH>
            <wp:positionV relativeFrom="paragraph">
              <wp:posOffset>67310</wp:posOffset>
            </wp:positionV>
            <wp:extent cx="9686290" cy="3839210"/>
            <wp:effectExtent l="0" t="0" r="0" b="0"/>
            <wp:wrapSquare wrapText="largest"/>
            <wp:docPr id="7"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örüntü4"/>
                    <pic:cNvPicPr>
                      <a:picLocks noChangeAspect="1" noChangeArrowheads="1"/>
                    </pic:cNvPicPr>
                  </pic:nvPicPr>
                  <pic:blipFill>
                    <a:blip r:embed="rId8"/>
                    <a:stretch>
                      <a:fillRect/>
                    </a:stretch>
                  </pic:blipFill>
                  <pic:spPr bwMode="auto">
                    <a:xfrm>
                      <a:off x="0" y="0"/>
                      <a:ext cx="9686290" cy="383921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-74930</wp:posOffset>
            </wp:positionH>
            <wp:positionV relativeFrom="paragraph">
              <wp:posOffset>2929255</wp:posOffset>
            </wp:positionV>
            <wp:extent cx="9686290" cy="3549650"/>
            <wp:effectExtent l="0" t="0" r="0" b="0"/>
            <wp:wrapSquare wrapText="largest"/>
            <wp:docPr id="8" name="Görüntü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örüntü8"/>
                    <pic:cNvPicPr>
                      <a:picLocks noChangeAspect="1" noChangeArrowheads="1"/>
                    </pic:cNvPicPr>
                  </pic:nvPicPr>
                  <pic:blipFill>
                    <a:blip r:embed="rId9"/>
                    <a:stretch>
                      <a:fillRect/>
                    </a:stretch>
                  </pic:blipFill>
                  <pic:spPr bwMode="auto">
                    <a:xfrm>
                      <a:off x="0" y="0"/>
                      <a:ext cx="9686290" cy="3549650"/>
                    </a:xfrm>
                    <a:prstGeom prst="rect">
                      <a:avLst/>
                    </a:prstGeom>
                    <a:noFill/>
                  </pic:spPr>
                </pic:pic>
              </a:graphicData>
            </a:graphic>
          </wp:anchor>
        </w:drawing>
      </w:r>
    </w:p>
    <w:p>
      <w:pPr>
        <w:pStyle w:val="Heading1"/>
        <w:widowControl/>
        <w:bidi w:val="0"/>
        <w:spacing w:lineRule="auto" w:line="276"/>
        <w:jc w:val="start"/>
        <w:rPr/>
      </w:pPr>
      <w:r>
        <w:drawing>
          <wp:anchor distT="0" distB="0" distL="0" distR="0" simplePos="0" relativeHeight="10" behindDoc="0" locked="0" layoutInCell="0" allowOverlap="1">
            <wp:simplePos x="0" y="0"/>
            <wp:positionH relativeFrom="column">
              <wp:posOffset>-81915</wp:posOffset>
            </wp:positionH>
            <wp:positionV relativeFrom="paragraph">
              <wp:posOffset>252730</wp:posOffset>
            </wp:positionV>
            <wp:extent cx="9686290" cy="3796030"/>
            <wp:effectExtent l="0" t="0" r="0" b="0"/>
            <wp:wrapSquare wrapText="largest"/>
            <wp:docPr id="9" name="Görüntü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örüntü9"/>
                    <pic:cNvPicPr>
                      <a:picLocks noChangeAspect="1" noChangeArrowheads="1"/>
                    </pic:cNvPicPr>
                  </pic:nvPicPr>
                  <pic:blipFill>
                    <a:blip r:embed="rId10"/>
                    <a:stretch>
                      <a:fillRect/>
                    </a:stretch>
                  </pic:blipFill>
                  <pic:spPr bwMode="auto">
                    <a:xfrm>
                      <a:off x="0" y="0"/>
                      <a:ext cx="9686290" cy="3796030"/>
                    </a:xfrm>
                    <a:prstGeom prst="rect">
                      <a:avLst/>
                    </a:prstGeom>
                    <a:noFill/>
                  </pic:spPr>
                </pic:pic>
              </a:graphicData>
            </a:graphic>
          </wp:anchor>
        </w:drawing>
        <w:drawing>
          <wp:anchor distT="0" distB="0" distL="0" distR="0" simplePos="0" relativeHeight="11" behindDoc="0" locked="0" layoutInCell="0" allowOverlap="1">
            <wp:simplePos x="0" y="0"/>
            <wp:positionH relativeFrom="column">
              <wp:posOffset>-231140</wp:posOffset>
            </wp:positionH>
            <wp:positionV relativeFrom="paragraph">
              <wp:posOffset>4004310</wp:posOffset>
            </wp:positionV>
            <wp:extent cx="10271125" cy="2792730"/>
            <wp:effectExtent l="0" t="0" r="0" b="0"/>
            <wp:wrapSquare wrapText="largest"/>
            <wp:docPr id="10" name="Görünt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örüntü10"/>
                    <pic:cNvPicPr>
                      <a:picLocks noChangeAspect="1" noChangeArrowheads="1"/>
                    </pic:cNvPicPr>
                  </pic:nvPicPr>
                  <pic:blipFill>
                    <a:blip r:embed="rId11"/>
                    <a:stretch>
                      <a:fillRect/>
                    </a:stretch>
                  </pic:blipFill>
                  <pic:spPr bwMode="auto">
                    <a:xfrm>
                      <a:off x="0" y="0"/>
                      <a:ext cx="10271125" cy="2792730"/>
                    </a:xfrm>
                    <a:prstGeom prst="rect">
                      <a:avLst/>
                    </a:prstGeom>
                    <a:noFill/>
                  </pic:spPr>
                </pic:pic>
              </a:graphicData>
            </a:graphic>
          </wp:anchor>
        </w:drawing>
      </w:r>
      <w:r>
        <w:rPr>
          <w:rStyle w:val="Strong"/>
          <w:rFonts w:eastAsia="Arial" w:ascii="Arial" w:hAnsi="Arial"/>
          <w:b/>
          <w:bCs/>
          <w:sz w:val="22"/>
          <w:szCs w:val="22"/>
        </w:rPr>
        <w:t xml:space="preserve">Appendix </w:t>
      </w:r>
      <w:r>
        <w:rPr>
          <w:rStyle w:val="Strong"/>
          <w:rFonts w:eastAsia="Arial" w:ascii="Arial" w:hAnsi="Arial"/>
          <w:b/>
          <w:bCs/>
          <w:sz w:val="22"/>
          <w:szCs w:val="22"/>
        </w:rPr>
        <w:t>E</w:t>
      </w:r>
      <w:r>
        <w:rPr>
          <w:rStyle w:val="Strong"/>
          <w:rFonts w:eastAsia="Arial" w:ascii="Arial" w:hAnsi="Arial"/>
          <w:b/>
          <w:bCs/>
          <w:sz w:val="22"/>
          <w:szCs w:val="22"/>
        </w:rPr>
        <w:t>. Specific Question Generation On Base RAG</w:t>
      </w:r>
    </w:p>
    <w:p>
      <w:pPr>
        <w:pStyle w:val="Heading1"/>
        <w:widowControl/>
        <w:bidi w:val="0"/>
        <w:spacing w:lineRule="auto" w:line="276"/>
        <w:jc w:val="start"/>
        <w:rPr/>
      </w:pPr>
      <w:r>
        <w:rPr>
          <w:rStyle w:val="Strong"/>
          <w:rFonts w:eastAsia="Arial" w:ascii="Arial" w:hAnsi="Arial"/>
          <w:b/>
          <w:bCs/>
          <w:sz w:val="22"/>
          <w:szCs w:val="22"/>
        </w:rPr>
        <w:t xml:space="preserve">Appendix </w:t>
      </w:r>
      <w:r>
        <w:rPr>
          <w:rStyle w:val="Strong"/>
          <w:rFonts w:eastAsia="Arial" w:ascii="Arial" w:hAnsi="Arial"/>
          <w:b/>
          <w:bCs/>
          <w:sz w:val="22"/>
          <w:szCs w:val="22"/>
        </w:rPr>
        <w:t>F</w:t>
      </w:r>
      <w:r>
        <w:rPr>
          <w:rStyle w:val="Strong"/>
          <w:rFonts w:eastAsia="Arial" w:ascii="Arial" w:hAnsi="Arial"/>
          <w:b/>
          <w:bCs/>
          <w:sz w:val="22"/>
          <w:szCs w:val="22"/>
        </w:rPr>
        <w:t>. Answer Not Found / Unsupported Question Example</w:t>
      </w:r>
    </w:p>
    <w:p>
      <w:pPr>
        <w:pStyle w:val="Normal"/>
        <w:widowControl/>
        <w:bidi w:val="0"/>
        <w:spacing w:lineRule="auto" w:line="276"/>
        <w:jc w:val="start"/>
        <w:rPr>
          <w:rStyle w:val="Strong"/>
          <w:rFonts w:ascii="Arial" w:hAnsi="Arial" w:eastAsia="Arial"/>
          <w:b/>
          <w:bCs/>
          <w:sz w:val="22"/>
          <w:szCs w:val="22"/>
        </w:rPr>
      </w:pPr>
      <w:r>
        <w:rPr/>
        <w:drawing>
          <wp:anchor distT="0" distB="0" distL="0" distR="0" simplePos="0" relativeHeight="12" behindDoc="0" locked="0" layoutInCell="0" allowOverlap="1">
            <wp:simplePos x="0" y="0"/>
            <wp:positionH relativeFrom="column">
              <wp:posOffset>-81915</wp:posOffset>
            </wp:positionH>
            <wp:positionV relativeFrom="paragraph">
              <wp:posOffset>123190</wp:posOffset>
            </wp:positionV>
            <wp:extent cx="9686290" cy="3749675"/>
            <wp:effectExtent l="0" t="0" r="0" b="0"/>
            <wp:wrapSquare wrapText="largest"/>
            <wp:docPr id="11" name="Görüntü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örüntü11"/>
                    <pic:cNvPicPr>
                      <a:picLocks noChangeAspect="1" noChangeArrowheads="1"/>
                    </pic:cNvPicPr>
                  </pic:nvPicPr>
                  <pic:blipFill>
                    <a:blip r:embed="rId12"/>
                    <a:stretch>
                      <a:fillRect/>
                    </a:stretch>
                  </pic:blipFill>
                  <pic:spPr bwMode="auto">
                    <a:xfrm>
                      <a:off x="0" y="0"/>
                      <a:ext cx="9686290" cy="3749675"/>
                    </a:xfrm>
                    <a:prstGeom prst="rect">
                      <a:avLst/>
                    </a:prstGeom>
                    <a:noFill/>
                  </pic:spPr>
                </pic:pic>
              </a:graphicData>
            </a:graphic>
          </wp:anchor>
        </w:drawing>
        <w:drawing>
          <wp:anchor distT="0" distB="0" distL="0" distR="0" simplePos="0" relativeHeight="13" behindDoc="0" locked="0" layoutInCell="0" allowOverlap="1">
            <wp:simplePos x="0" y="0"/>
            <wp:positionH relativeFrom="column">
              <wp:posOffset>-26670</wp:posOffset>
            </wp:positionH>
            <wp:positionV relativeFrom="paragraph">
              <wp:posOffset>3872230</wp:posOffset>
            </wp:positionV>
            <wp:extent cx="9686290" cy="2691130"/>
            <wp:effectExtent l="0" t="0" r="0" b="0"/>
            <wp:wrapSquare wrapText="largest"/>
            <wp:docPr id="12" name="Görüntü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örüntü12"/>
                    <pic:cNvPicPr>
                      <a:picLocks noChangeAspect="1" noChangeArrowheads="1"/>
                    </pic:cNvPicPr>
                  </pic:nvPicPr>
                  <pic:blipFill>
                    <a:blip r:embed="rId13"/>
                    <a:stretch>
                      <a:fillRect/>
                    </a:stretch>
                  </pic:blipFill>
                  <pic:spPr bwMode="auto">
                    <a:xfrm>
                      <a:off x="0" y="0"/>
                      <a:ext cx="9686290" cy="2691130"/>
                    </a:xfrm>
                    <a:prstGeom prst="rect">
                      <a:avLst/>
                    </a:prstGeom>
                    <a:noFill/>
                  </pic:spPr>
                </pic:pic>
              </a:graphicData>
            </a:graphic>
          </wp:anchor>
        </w:drawing>
      </w:r>
    </w:p>
    <w:p>
      <w:pPr>
        <w:pStyle w:val="Heading1"/>
        <w:widowControl/>
        <w:bidi w:val="0"/>
        <w:spacing w:lineRule="auto" w:line="276"/>
        <w:jc w:val="start"/>
        <w:rPr/>
      </w:pPr>
      <w:r>
        <w:rPr>
          <w:rStyle w:val="Strong"/>
          <w:rFonts w:eastAsia="Arial" w:ascii="Arial" w:hAnsi="Arial"/>
          <w:b/>
          <w:bCs/>
          <w:sz w:val="22"/>
          <w:szCs w:val="22"/>
        </w:rPr>
        <w:t>23. References</w:t>
      </w:r>
    </w:p>
    <w:p>
      <w:pPr>
        <w:pStyle w:val="Normal"/>
        <w:spacing w:lineRule="auto" w:line="252" w:before="0" w:after="100"/>
        <w:rPr/>
      </w:pPr>
      <w:r>
        <w:rPr>
          <w:rStyle w:val="Strong"/>
          <w:b w:val="false"/>
          <w:bCs w:val="false"/>
          <w:sz w:val="22"/>
          <w:szCs w:val="22"/>
        </w:rPr>
        <w:t>HuggingFace Renicames/turkish-lawchatbot</w:t>
      </w:r>
    </w:p>
    <w:p>
      <w:pPr>
        <w:pStyle w:val="Normal"/>
        <w:spacing w:lineRule="auto" w:line="252" w:before="0" w:after="100"/>
        <w:rPr/>
      </w:pPr>
      <w:r>
        <w:rPr>
          <w:rStyle w:val="Strong"/>
          <w:b w:val="false"/>
          <w:bCs w:val="false"/>
          <w:sz w:val="22"/>
          <w:szCs w:val="22"/>
        </w:rPr>
        <w:t>muhammetakkurt/mevzuat-gov-dataset</w:t>
      </w:r>
    </w:p>
    <w:p>
      <w:pPr>
        <w:pStyle w:val="Normal"/>
        <w:spacing w:lineRule="auto" w:line="252" w:before="0" w:after="100"/>
        <w:rPr/>
      </w:pPr>
      <w:r>
        <w:rPr>
          <w:rStyle w:val="Strong"/>
          <w:b w:val="false"/>
          <w:bCs w:val="false"/>
          <w:sz w:val="22"/>
          <w:szCs w:val="22"/>
        </w:rPr>
        <w:t>mevzuat.gov.tr</w:t>
      </w:r>
    </w:p>
    <w:p>
      <w:pPr>
        <w:pStyle w:val="Normal"/>
        <w:spacing w:lineRule="auto" w:line="252" w:before="0" w:after="100"/>
        <w:rPr>
          <w:rStyle w:val="Strong"/>
          <w:b w:val="false"/>
          <w:bCs w:val="false"/>
          <w:sz w:val="22"/>
          <w:szCs w:val="22"/>
        </w:rPr>
      </w:pPr>
      <w:r>
        <w:rPr>
          <w:b w:val="false"/>
          <w:bCs w:val="false"/>
          <w:sz w:val="22"/>
          <w:szCs w:val="22"/>
        </w:rPr>
      </w:r>
    </w:p>
    <w:p>
      <w:pPr>
        <w:pStyle w:val="Normal"/>
        <w:spacing w:lineRule="auto" w:line="252" w:before="0" w:after="100"/>
        <w:rPr>
          <w:rStyle w:val="Strong"/>
          <w:b w:val="false"/>
          <w:bCs w:val="false"/>
          <w:sz w:val="22"/>
          <w:szCs w:val="22"/>
        </w:rPr>
      </w:pPr>
      <w:r>
        <w:rPr>
          <w:b w:val="false"/>
          <w:bCs w:val="false"/>
          <w:sz w:val="22"/>
          <w:szCs w:val="22"/>
        </w:rPr>
      </w:r>
    </w:p>
    <w:sectPr>
      <w:footerReference w:type="even" r:id="rId14"/>
      <w:footerReference w:type="default" r:id="rId15"/>
      <w:footerReference w:type="first" r:id="rId16"/>
      <w:type w:val="nextPage"/>
      <w:pgSz w:orient="landscape" w:w="16838" w:h="11906"/>
      <w:pgMar w:left="792" w:right="792"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Arial">
    <w:charset w:val="a2" w:characterSet="windows-1254"/>
    <w:family w:val="swiss"/>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Mono">
    <w:altName w:val="Courier New"/>
    <w:charset w:val="a2" w:characterSet="windows-1254"/>
    <w:family w:val="roman"/>
    <w:pitch w:val="variable"/>
  </w:font>
  <w:font w:name="Liberation Sans">
    <w:altName w:val="Arial"/>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aynakMetinuser">
    <w:name w:val="Kaynak Metin (user)"/>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
    <w:name w:val="Üst Bilgi ve Alt Bilgi"/>
    <w:basedOn w:val="Normal"/>
    <w:qFormat/>
    <w:pPr/>
    <w:rPr/>
  </w:style>
  <w:style w:type="paragraph" w:styleId="stBilgiveAltBilgiuser">
    <w:name w:val="Üst Bilgi ve Alt Bilgi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 w:type="paragraph" w:styleId="Tabloeriiuser">
    <w:name w:val="Tablo İçeriği (user)"/>
    <w:basedOn w:val="Normal"/>
    <w:qFormat/>
    <w:pPr>
      <w:widowControl w:val="false"/>
      <w:suppressLineNumbers/>
    </w:pPr>
    <w:rPr/>
  </w:style>
  <w:style w:type="paragraph" w:styleId="TabloBaluser">
    <w:name w:val="Tablo Başlığı (user)"/>
    <w:basedOn w:val="Tabloeriiuser"/>
    <w:qFormat/>
    <w:pPr>
      <w:suppressLineNumbers/>
      <w:jc w:val="center"/>
    </w:pPr>
    <w:rPr>
      <w:b/>
      <w:bCs/>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Application>LibreOffice/25.8.6.2$Windows_X86_64 LibreOffice_project/b4b39682cd9868fa725bc664aff94278d315bd04</Application>
  <AppVersion>15.0000</AppVersion>
  <Pages>33</Pages>
  <Words>7457</Words>
  <Characters>45259</Characters>
  <CharactersWithSpaces>51783</CharactersWithSpaces>
  <Paragraphs>937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2026-05-28T16:20:26Z</cp:lastPrinted>
  <dcterms:modified xsi:type="dcterms:W3CDTF">2026-05-31T23:10:43Z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