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48" w:rsidRDefault="00116923" w:rsidP="0011692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Essay – Lab 2</w:t>
      </w:r>
      <w:r>
        <w:rPr>
          <w:rFonts w:ascii="Times New Roman" w:hAnsi="Times New Roman" w:cs="Times New Roman"/>
          <w:sz w:val="28"/>
          <w:lang w:val="en-US"/>
        </w:rPr>
        <w:t xml:space="preserve"> – Florin-George B</w:t>
      </w:r>
      <w:r>
        <w:rPr>
          <w:rFonts w:ascii="Times New Roman" w:hAnsi="Times New Roman" w:cs="Times New Roman"/>
          <w:sz w:val="28"/>
          <w:lang w:val="ro-RO"/>
        </w:rPr>
        <w:t>ă</w:t>
      </w:r>
      <w:proofErr w:type="spellStart"/>
      <w:r>
        <w:rPr>
          <w:rFonts w:ascii="Times New Roman" w:hAnsi="Times New Roman" w:cs="Times New Roman"/>
          <w:sz w:val="28"/>
          <w:lang w:val="en-US"/>
        </w:rPr>
        <w:t>rcan</w:t>
      </w:r>
      <w:proofErr w:type="spellEnd"/>
    </w:p>
    <w:p w:rsidR="00116923" w:rsidRDefault="00116923" w:rsidP="0011692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16923" w:rsidRDefault="00116923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The second lesson introduces 2 very important data types: </w:t>
      </w:r>
      <w:r w:rsidRPr="00116923">
        <w:rPr>
          <w:rFonts w:ascii="Times New Roman" w:hAnsi="Times New Roman" w:cs="Times New Roman"/>
          <w:i/>
          <w:sz w:val="28"/>
          <w:lang w:val="en-US"/>
        </w:rPr>
        <w:t>mapping</w:t>
      </w:r>
      <w:r>
        <w:rPr>
          <w:rFonts w:ascii="Times New Roman" w:hAnsi="Times New Roman" w:cs="Times New Roman"/>
          <w:sz w:val="28"/>
          <w:lang w:val="en-US"/>
        </w:rPr>
        <w:t xml:space="preserve"> and </w:t>
      </w:r>
      <w:r>
        <w:rPr>
          <w:rFonts w:ascii="Times New Roman" w:hAnsi="Times New Roman" w:cs="Times New Roman"/>
          <w:i/>
          <w:sz w:val="28"/>
          <w:lang w:val="en-US"/>
        </w:rPr>
        <w:t>address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116923" w:rsidRDefault="00116923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Regarding </w:t>
      </w:r>
      <w:r>
        <w:rPr>
          <w:rFonts w:ascii="Times New Roman" w:hAnsi="Times New Roman" w:cs="Times New Roman"/>
          <w:i/>
          <w:sz w:val="28"/>
          <w:lang w:val="en-US"/>
        </w:rPr>
        <w:t>addresses</w:t>
      </w:r>
      <w:r>
        <w:rPr>
          <w:rFonts w:ascii="Times New Roman" w:hAnsi="Times New Roman" w:cs="Times New Roman"/>
          <w:sz w:val="28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in our case,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Ethereum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is composed of accounts with each account have a balance of Ether, i.e., a currency. Each account has a unique identifier and that is the address.</w:t>
      </w:r>
    </w:p>
    <w:p w:rsidR="00116923" w:rsidRDefault="00116923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Mappings are a key-value data structure for storing and accessing data. </w:t>
      </w:r>
    </w:p>
    <w:p w:rsidR="00116923" w:rsidRDefault="00116923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We also get to know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msg.sender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which is a global variable that points to the address of the person who calls the current function. With this variable, together with the </w:t>
      </w:r>
      <w:r>
        <w:rPr>
          <w:rFonts w:ascii="Times New Roman" w:hAnsi="Times New Roman" w:cs="Times New Roman"/>
          <w:i/>
          <w:sz w:val="28"/>
          <w:lang w:val="en-US"/>
        </w:rPr>
        <w:t>require</w:t>
      </w:r>
      <w:r>
        <w:rPr>
          <w:rFonts w:ascii="Times New Roman" w:hAnsi="Times New Roman" w:cs="Times New Roman"/>
          <w:sz w:val="28"/>
          <w:lang w:val="en-US"/>
        </w:rPr>
        <w:t xml:space="preserve"> keyword, offers us some degree of security in our smart-contracts.</w:t>
      </w:r>
    </w:p>
    <w:p w:rsidR="006E3E97" w:rsidRDefault="006E3E97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In this lesson we also found out we can create contracts that inherit other contracts, thus splitting our code into a much more organized code. A good example would be:</w:t>
      </w:r>
    </w:p>
    <w:p w:rsidR="006E3E97" w:rsidRPr="006E3E97" w:rsidRDefault="006E3E97" w:rsidP="006E3E97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color w:val="FF0000"/>
          <w:sz w:val="24"/>
          <w:lang w:val="en-US"/>
        </w:rPr>
        <w:t>contract</w:t>
      </w:r>
      <w:r w:rsidRPr="006E3E97">
        <w:rPr>
          <w:rFonts w:ascii="Courier New" w:hAnsi="Courier New" w:cs="Courier New"/>
          <w:sz w:val="24"/>
          <w:lang w:val="en-US"/>
        </w:rPr>
        <w:t xml:space="preserve"> Animal {</w:t>
      </w:r>
    </w:p>
    <w:p w:rsidR="006E3E97" w:rsidRPr="006E3E97" w:rsidRDefault="006E3E97" w:rsidP="006E3E97">
      <w:pPr>
        <w:ind w:firstLine="720"/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 xml:space="preserve">function </w:t>
      </w:r>
      <w:proofErr w:type="gramStart"/>
      <w:r w:rsidRPr="006E3E97">
        <w:rPr>
          <w:rFonts w:ascii="Courier New" w:hAnsi="Courier New" w:cs="Courier New"/>
          <w:sz w:val="24"/>
          <w:lang w:val="en-US"/>
        </w:rPr>
        <w:t>feed(</w:t>
      </w:r>
      <w:proofErr w:type="gramEnd"/>
      <w:r w:rsidRPr="006E3E97">
        <w:rPr>
          <w:rFonts w:ascii="Courier New" w:hAnsi="Courier New" w:cs="Courier New"/>
          <w:sz w:val="24"/>
          <w:lang w:val="en-US"/>
        </w:rPr>
        <w:t>) public returns (string memory) {</w:t>
      </w:r>
    </w:p>
    <w:p w:rsidR="006E3E97" w:rsidRPr="006E3E97" w:rsidRDefault="006E3E97" w:rsidP="00116923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ab/>
      </w:r>
      <w:r w:rsidRPr="006E3E97">
        <w:rPr>
          <w:rFonts w:ascii="Courier New" w:hAnsi="Courier New" w:cs="Courier New"/>
          <w:sz w:val="24"/>
          <w:lang w:val="en-US"/>
        </w:rPr>
        <w:tab/>
        <w:t>return “animal finished eating”;</w:t>
      </w:r>
    </w:p>
    <w:p w:rsidR="006E3E97" w:rsidRPr="006E3E97" w:rsidRDefault="006E3E97" w:rsidP="00116923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ab/>
        <w:t>}</w:t>
      </w:r>
    </w:p>
    <w:p w:rsidR="006E3E97" w:rsidRPr="006E3E97" w:rsidRDefault="006E3E97" w:rsidP="00116923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>}</w:t>
      </w:r>
    </w:p>
    <w:p w:rsidR="006E3E97" w:rsidRPr="006E3E97" w:rsidRDefault="006E3E97" w:rsidP="00116923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color w:val="FF0000"/>
          <w:sz w:val="24"/>
          <w:lang w:val="en-US"/>
        </w:rPr>
        <w:t>contract</w:t>
      </w:r>
      <w:r w:rsidRPr="006E3E97">
        <w:rPr>
          <w:rFonts w:ascii="Courier New" w:hAnsi="Courier New" w:cs="Courier New"/>
          <w:sz w:val="24"/>
          <w:lang w:val="en-US"/>
        </w:rPr>
        <w:t xml:space="preserve"> Cat is Animal {</w:t>
      </w:r>
    </w:p>
    <w:p w:rsidR="006E3E97" w:rsidRPr="006E3E97" w:rsidRDefault="006E3E97" w:rsidP="006E3E97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ab/>
      </w:r>
      <w:r w:rsidRPr="006E3E97">
        <w:rPr>
          <w:rFonts w:ascii="Courier New" w:hAnsi="Courier New" w:cs="Courier New"/>
          <w:sz w:val="24"/>
          <w:lang w:val="en-US"/>
        </w:rPr>
        <w:t xml:space="preserve">function </w:t>
      </w:r>
      <w:proofErr w:type="spellStart"/>
      <w:proofErr w:type="gramStart"/>
      <w:r w:rsidRPr="006E3E97">
        <w:rPr>
          <w:rFonts w:ascii="Courier New" w:hAnsi="Courier New" w:cs="Courier New"/>
          <w:sz w:val="24"/>
          <w:lang w:val="en-US"/>
        </w:rPr>
        <w:t>feed</w:t>
      </w:r>
      <w:r w:rsidRPr="006E3E97">
        <w:rPr>
          <w:rFonts w:ascii="Courier New" w:hAnsi="Courier New" w:cs="Courier New"/>
          <w:sz w:val="24"/>
          <w:lang w:val="en-US"/>
        </w:rPr>
        <w:t>Cat</w:t>
      </w:r>
      <w:proofErr w:type="spellEnd"/>
      <w:r w:rsidRPr="006E3E9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E3E97">
        <w:rPr>
          <w:rFonts w:ascii="Courier New" w:hAnsi="Courier New" w:cs="Courier New"/>
          <w:sz w:val="24"/>
          <w:lang w:val="en-US"/>
        </w:rPr>
        <w:t>) public returns (string memory) {</w:t>
      </w:r>
    </w:p>
    <w:p w:rsidR="006E3E97" w:rsidRPr="006E3E97" w:rsidRDefault="006E3E97" w:rsidP="006E3E97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ab/>
      </w:r>
      <w:r w:rsidRPr="006E3E97">
        <w:rPr>
          <w:rFonts w:ascii="Courier New" w:hAnsi="Courier New" w:cs="Courier New"/>
          <w:sz w:val="24"/>
          <w:lang w:val="en-US"/>
        </w:rPr>
        <w:tab/>
        <w:t>return “</w:t>
      </w:r>
      <w:r w:rsidRPr="006E3E97">
        <w:rPr>
          <w:rFonts w:ascii="Courier New" w:hAnsi="Courier New" w:cs="Courier New"/>
          <w:sz w:val="24"/>
          <w:lang w:val="en-US"/>
        </w:rPr>
        <w:t>cat</w:t>
      </w:r>
      <w:r w:rsidRPr="006E3E97">
        <w:rPr>
          <w:rFonts w:ascii="Courier New" w:hAnsi="Courier New" w:cs="Courier New"/>
          <w:sz w:val="24"/>
          <w:lang w:val="en-US"/>
        </w:rPr>
        <w:t xml:space="preserve"> finished eating”;</w:t>
      </w:r>
    </w:p>
    <w:p w:rsidR="006E3E97" w:rsidRPr="006E3E97" w:rsidRDefault="006E3E97" w:rsidP="00116923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ab/>
        <w:t>}</w:t>
      </w:r>
    </w:p>
    <w:p w:rsidR="006E3E97" w:rsidRPr="006E3E97" w:rsidRDefault="006E3E97" w:rsidP="00116923">
      <w:pPr>
        <w:jc w:val="both"/>
        <w:rPr>
          <w:rFonts w:ascii="Courier New" w:hAnsi="Courier New" w:cs="Courier New"/>
          <w:sz w:val="24"/>
          <w:lang w:val="en-US"/>
        </w:rPr>
      </w:pPr>
      <w:r w:rsidRPr="006E3E97">
        <w:rPr>
          <w:rFonts w:ascii="Courier New" w:hAnsi="Courier New" w:cs="Courier New"/>
          <w:sz w:val="24"/>
          <w:lang w:val="en-US"/>
        </w:rPr>
        <w:t>}</w:t>
      </w:r>
    </w:p>
    <w:p w:rsidR="006E3E97" w:rsidRDefault="006E3E97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Here we have 2 contracts instead of one big contract. The contract Cat inherits the contract Animal and can have a different behavior from the contract that it inherits.</w:t>
      </w:r>
    </w:p>
    <w:p w:rsidR="006E3E97" w:rsidRDefault="006E3E97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Solidity has 2 ways in which it can store variables. From the first lesson we learned about </w:t>
      </w:r>
      <w:r>
        <w:rPr>
          <w:rFonts w:ascii="Times New Roman" w:hAnsi="Times New Roman" w:cs="Times New Roman"/>
          <w:i/>
          <w:sz w:val="28"/>
          <w:lang w:val="en-US"/>
        </w:rPr>
        <w:t>memory</w:t>
      </w:r>
      <w:r>
        <w:rPr>
          <w:rFonts w:ascii="Times New Roman" w:hAnsi="Times New Roman" w:cs="Times New Roman"/>
          <w:sz w:val="28"/>
          <w:lang w:val="en-US"/>
        </w:rPr>
        <w:t xml:space="preserve"> which stores the variables temporary. This time we learn about </w:t>
      </w:r>
      <w:r>
        <w:rPr>
          <w:rFonts w:ascii="Times New Roman" w:hAnsi="Times New Roman" w:cs="Times New Roman"/>
          <w:i/>
          <w:sz w:val="28"/>
          <w:lang w:val="en-US"/>
        </w:rPr>
        <w:t>storage</w:t>
      </w:r>
      <w:r>
        <w:rPr>
          <w:rFonts w:ascii="Times New Roman" w:hAnsi="Times New Roman" w:cs="Times New Roman"/>
          <w:sz w:val="28"/>
          <w:lang w:val="en-US"/>
        </w:rPr>
        <w:t xml:space="preserve">. This keyword indicates that the variable is stored permanently inside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6E3E97" w:rsidRPr="00055EF0" w:rsidRDefault="006E3E97" w:rsidP="001169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  <w:t>Finally,</w:t>
      </w:r>
      <w:r w:rsidR="00055EF0">
        <w:rPr>
          <w:rFonts w:ascii="Times New Roman" w:hAnsi="Times New Roman" w:cs="Times New Roman"/>
          <w:sz w:val="28"/>
          <w:lang w:val="en-US"/>
        </w:rPr>
        <w:t xml:space="preserve"> we get to learn how to interact with other </w:t>
      </w:r>
      <w:proofErr w:type="spellStart"/>
      <w:r w:rsidR="00055EF0">
        <w:rPr>
          <w:rFonts w:ascii="Times New Roman" w:hAnsi="Times New Roman" w:cs="Times New Roman"/>
          <w:sz w:val="28"/>
          <w:lang w:val="en-US"/>
        </w:rPr>
        <w:t>blockchains</w:t>
      </w:r>
      <w:proofErr w:type="spellEnd"/>
      <w:r w:rsidR="00055EF0">
        <w:rPr>
          <w:rFonts w:ascii="Times New Roman" w:hAnsi="Times New Roman" w:cs="Times New Roman"/>
          <w:sz w:val="28"/>
          <w:lang w:val="en-US"/>
        </w:rPr>
        <w:t xml:space="preserve"> that we don’t own, like the </w:t>
      </w:r>
      <w:proofErr w:type="spellStart"/>
      <w:r w:rsidR="00055EF0">
        <w:rPr>
          <w:rFonts w:ascii="Times New Roman" w:hAnsi="Times New Roman" w:cs="Times New Roman"/>
          <w:sz w:val="28"/>
          <w:lang w:val="en-US"/>
        </w:rPr>
        <w:t>CryptoKitties</w:t>
      </w:r>
      <w:proofErr w:type="spellEnd"/>
      <w:r w:rsidR="00055E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55EF0">
        <w:rPr>
          <w:rFonts w:ascii="Times New Roman" w:hAnsi="Times New Roman" w:cs="Times New Roman"/>
          <w:sz w:val="28"/>
          <w:lang w:val="en-US"/>
        </w:rPr>
        <w:t>blockchain</w:t>
      </w:r>
      <w:proofErr w:type="spellEnd"/>
      <w:r w:rsidR="00055EF0">
        <w:rPr>
          <w:rFonts w:ascii="Times New Roman" w:hAnsi="Times New Roman" w:cs="Times New Roman"/>
          <w:sz w:val="28"/>
          <w:lang w:val="en-US"/>
        </w:rPr>
        <w:t>. The communication takes place using an interface, i.e., defining the contract without the content between the curly braces.</w:t>
      </w:r>
      <w:bookmarkStart w:id="0" w:name="_GoBack"/>
      <w:bookmarkEnd w:id="0"/>
    </w:p>
    <w:sectPr w:rsidR="006E3E97" w:rsidRPr="00055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23"/>
    <w:rsid w:val="00055EF0"/>
    <w:rsid w:val="00096447"/>
    <w:rsid w:val="00116923"/>
    <w:rsid w:val="00557047"/>
    <w:rsid w:val="006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0E00"/>
  <w15:chartTrackingRefBased/>
  <w15:docId w15:val="{67A4FAFE-3400-4228-8141-C1732C87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Florinel-PC</dc:creator>
  <cp:keywords/>
  <dc:description/>
  <cp:lastModifiedBy>Florinel-PC</cp:lastModifiedBy>
  <cp:revision>1</cp:revision>
  <dcterms:created xsi:type="dcterms:W3CDTF">2021-03-24T12:06:00Z</dcterms:created>
  <dcterms:modified xsi:type="dcterms:W3CDTF">2021-03-24T12:36:00Z</dcterms:modified>
</cp:coreProperties>
</file>