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F600" w14:textId="77777777" w:rsidR="007C1A49" w:rsidRPr="007C1A49" w:rsidRDefault="007C1A49" w:rsidP="007C1A4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it-IT"/>
          <w14:ligatures w14:val="none"/>
        </w:rPr>
      </w:pPr>
      <w:r w:rsidRPr="007C1A49">
        <w:rPr>
          <w:rFonts w:ascii="Times New Roman" w:eastAsia="Times New Roman" w:hAnsi="Times New Roman" w:cs="Times New Roman"/>
          <w:b/>
          <w:bCs/>
          <w:kern w:val="36"/>
          <w:sz w:val="48"/>
          <w:szCs w:val="48"/>
          <w:lang w:val="en-US" w:eastAsia="it-IT"/>
          <w14:ligatures w14:val="none"/>
        </w:rPr>
        <w:t>Technical Methodological Project: Integrated Multi-Source Demographic Monitoring System</w:t>
      </w:r>
    </w:p>
    <w:p w14:paraId="171EB5D2" w14:textId="05C81751" w:rsidR="007C1A49" w:rsidRDefault="007C1A49" w:rsidP="007C1A4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Pr>
          <w:rFonts w:ascii="Times New Roman" w:eastAsia="Times New Roman" w:hAnsi="Times New Roman" w:cs="Times New Roman"/>
          <w:b/>
          <w:bCs/>
          <w:noProof/>
          <w:kern w:val="0"/>
          <w:sz w:val="36"/>
          <w:szCs w:val="36"/>
          <w:lang w:val="en-US" w:eastAsia="it-IT"/>
          <w14:ligatures w14:val="none"/>
        </w:rPr>
        <w:drawing>
          <wp:inline distT="0" distB="0" distL="0" distR="0" wp14:anchorId="02C2EE94" wp14:editId="51AA1A84">
            <wp:extent cx="6057900" cy="3314700"/>
            <wp:effectExtent l="0" t="0" r="0" b="0"/>
            <wp:docPr id="12199347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7900" cy="3314700"/>
                    </a:xfrm>
                    <a:prstGeom prst="rect">
                      <a:avLst/>
                    </a:prstGeom>
                    <a:noFill/>
                    <a:ln>
                      <a:noFill/>
                    </a:ln>
                  </pic:spPr>
                </pic:pic>
              </a:graphicData>
            </a:graphic>
          </wp:inline>
        </w:drawing>
      </w:r>
    </w:p>
    <w:p w14:paraId="69688970" w14:textId="77777777" w:rsidR="007C1A49" w:rsidRDefault="007C1A49" w:rsidP="007C1A4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p>
    <w:p w14:paraId="68165330" w14:textId="6A6D7CCE" w:rsidR="007C1A49" w:rsidRPr="007C1A49" w:rsidRDefault="007C1A49" w:rsidP="007C1A4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7C1A49">
        <w:rPr>
          <w:rFonts w:ascii="Times New Roman" w:eastAsia="Times New Roman" w:hAnsi="Times New Roman" w:cs="Times New Roman"/>
          <w:b/>
          <w:bCs/>
          <w:kern w:val="0"/>
          <w:sz w:val="36"/>
          <w:szCs w:val="36"/>
          <w:lang w:val="en-US" w:eastAsia="it-IT"/>
          <w14:ligatures w14:val="none"/>
        </w:rPr>
        <w:t>1. Strategic Framework for High-Resolution Population Estimation</w:t>
      </w:r>
    </w:p>
    <w:p w14:paraId="3B823593"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In the complex operational environment of the Gaza Strip, traditional demographic monitoring has been rendered obsolete by the intersection of extreme urban density and unprecedented infrastructure destruction. Historical census data no longer reflects the ground reality, and physical surveys are frequently hindered by security constraints. To bridge this intelligence gap, we have developed a hybrid "structural-dynamic" monitoring framework. This approach moves beyond static counting, establishing a baseline of physical capacity and overlaying it with near-real-time signals of human activity.</w:t>
      </w:r>
    </w:p>
    <w:p w14:paraId="0D4E19C7"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val="en-US" w:eastAsia="it-IT"/>
          <w14:ligatures w14:val="none"/>
        </w:rPr>
        <w:t xml:space="preserve">The primary objective of this project is the creation of a high-resolution demographic surface at a 100x100m resolution. This granularity is essential for humanitarian actors to move beyond district-level aggregates and identify localized pockets of vulnerability. </w:t>
      </w:r>
      <w:r w:rsidRPr="007C1A49">
        <w:rPr>
          <w:rFonts w:ascii="Times New Roman" w:eastAsia="Times New Roman" w:hAnsi="Times New Roman" w:cs="Times New Roman"/>
          <w:kern w:val="0"/>
          <w:sz w:val="24"/>
          <w:szCs w:val="24"/>
          <w:lang w:eastAsia="it-IT"/>
          <w14:ligatures w14:val="none"/>
        </w:rPr>
        <w:t>The methodology rests on three strategic pillars:</w:t>
      </w:r>
    </w:p>
    <w:p w14:paraId="083FA4D0" w14:textId="77777777" w:rsidR="007C1A49" w:rsidRPr="007C1A49" w:rsidRDefault="007C1A49" w:rsidP="007C1A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t>Spatial Foundation:</w:t>
      </w:r>
      <w:r w:rsidRPr="007C1A49">
        <w:rPr>
          <w:rFonts w:ascii="Times New Roman" w:eastAsia="Times New Roman" w:hAnsi="Times New Roman" w:cs="Times New Roman"/>
          <w:kern w:val="0"/>
          <w:sz w:val="24"/>
          <w:szCs w:val="24"/>
          <w:lang w:val="en-US" w:eastAsia="it-IT"/>
          <w14:ligatures w14:val="none"/>
        </w:rPr>
        <w:t xml:space="preserve"> The construction of a standardized analytical grid to serve as the common denominator for data fusion.</w:t>
      </w:r>
    </w:p>
    <w:p w14:paraId="0CA277E9" w14:textId="77777777" w:rsidR="007C1A49" w:rsidRPr="007C1A49" w:rsidRDefault="007C1A49" w:rsidP="007C1A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t>Structural Capacity Analysis:</w:t>
      </w:r>
      <w:r w:rsidRPr="007C1A49">
        <w:rPr>
          <w:rFonts w:ascii="Times New Roman" w:eastAsia="Times New Roman" w:hAnsi="Times New Roman" w:cs="Times New Roman"/>
          <w:kern w:val="0"/>
          <w:sz w:val="24"/>
          <w:szCs w:val="24"/>
          <w:lang w:val="en-US" w:eastAsia="it-IT"/>
          <w14:ligatures w14:val="none"/>
        </w:rPr>
        <w:t xml:space="preserve"> Quantifying the built environment—including building footprints and road accessibility—to determine the physical limits of human occupancy.</w:t>
      </w:r>
    </w:p>
    <w:p w14:paraId="4FDEEFE6" w14:textId="77777777" w:rsidR="007C1A49" w:rsidRPr="007C1A49" w:rsidRDefault="007C1A49" w:rsidP="007C1A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lastRenderedPageBreak/>
        <w:t>Dynamic Presence Calibration:</w:t>
      </w:r>
      <w:r w:rsidRPr="007C1A49">
        <w:rPr>
          <w:rFonts w:ascii="Times New Roman" w:eastAsia="Times New Roman" w:hAnsi="Times New Roman" w:cs="Times New Roman"/>
          <w:kern w:val="0"/>
          <w:sz w:val="24"/>
          <w:szCs w:val="24"/>
          <w:lang w:val="en-US" w:eastAsia="it-IT"/>
          <w14:ligatures w14:val="none"/>
        </w:rPr>
        <w:t xml:space="preserve"> Integrating indirect and active signals, such as night-time lights and mobile network data, to track displacement patterns regardless of structural integrity.</w:t>
      </w:r>
    </w:p>
    <w:p w14:paraId="1ED7A7FA" w14:textId="77777777" w:rsidR="007C1A49" w:rsidRPr="007C1A49" w:rsidRDefault="007C1A49" w:rsidP="007C1A4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7C1A49">
        <w:rPr>
          <w:rFonts w:ascii="Times New Roman" w:eastAsia="Times New Roman" w:hAnsi="Times New Roman" w:cs="Times New Roman"/>
          <w:b/>
          <w:bCs/>
          <w:kern w:val="0"/>
          <w:sz w:val="36"/>
          <w:szCs w:val="36"/>
          <w:lang w:val="en-US" w:eastAsia="it-IT"/>
          <w14:ligatures w14:val="none"/>
        </w:rPr>
        <w:t>2. The Spatial Foundation: 100-Meter Analytical Grid Construction</w:t>
      </w:r>
    </w:p>
    <w:p w14:paraId="5253EED9"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The prerequisite for multi-source data fusion is a standardized spatial container. A 100m square grid provides the optimal "middle ground" for analysis, balancing the high resolution of satellite building footprints (sub-meter) with the coarser spatial footprints of cellular tower signaling. This grid ensures that disparate data points—damage assessments, radiance values, and building counts—align perfectly for multivariate modeling.</w:t>
      </w:r>
    </w:p>
    <w:p w14:paraId="78FECA2E" w14:textId="77777777"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7C1A49">
        <w:rPr>
          <w:rFonts w:ascii="Times New Roman" w:eastAsia="Times New Roman" w:hAnsi="Times New Roman" w:cs="Times New Roman"/>
          <w:b/>
          <w:bCs/>
          <w:kern w:val="0"/>
          <w:sz w:val="27"/>
          <w:szCs w:val="27"/>
          <w:lang w:val="en-US" w:eastAsia="it-IT"/>
          <w14:ligatures w14:val="none"/>
        </w:rPr>
        <w:t>Technical Specification of the Grid (EPSG:32636)</w:t>
      </w:r>
    </w:p>
    <w:p w14:paraId="619F2E43"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 xml:space="preserve">The grid is constructed using the WGS84 / UTM zone 36N projected coordinate system (EPSG:32636) to maintain metric accuracy across all distance and area calculations. To ensure the grid remains stable across different processing iterations, the origin is snapped to 100m increments using a specific logic: the </w:t>
      </w:r>
      <w:r w:rsidRPr="007C1A49">
        <w:rPr>
          <w:rFonts w:ascii="Courier New" w:eastAsia="Times New Roman" w:hAnsi="Courier New" w:cs="Courier New"/>
          <w:kern w:val="0"/>
          <w:sz w:val="20"/>
          <w:szCs w:val="20"/>
          <w:lang w:val="en-US" w:eastAsia="it-IT"/>
          <w14:ligatures w14:val="none"/>
        </w:rPr>
        <w:t>origin_x</w:t>
      </w:r>
      <w:r w:rsidRPr="007C1A49">
        <w:rPr>
          <w:rFonts w:ascii="Times New Roman" w:eastAsia="Times New Roman" w:hAnsi="Times New Roman" w:cs="Times New Roman"/>
          <w:kern w:val="0"/>
          <w:sz w:val="24"/>
          <w:szCs w:val="24"/>
          <w:lang w:val="en-US" w:eastAsia="it-IT"/>
          <w14:ligatures w14:val="none"/>
        </w:rPr>
        <w:t xml:space="preserve"> and </w:t>
      </w:r>
      <w:r w:rsidRPr="007C1A49">
        <w:rPr>
          <w:rFonts w:ascii="Courier New" w:eastAsia="Times New Roman" w:hAnsi="Courier New" w:cs="Courier New"/>
          <w:kern w:val="0"/>
          <w:sz w:val="20"/>
          <w:szCs w:val="20"/>
          <w:lang w:val="en-US" w:eastAsia="it-IT"/>
          <w14:ligatures w14:val="none"/>
        </w:rPr>
        <w:t>origin_y</w:t>
      </w:r>
      <w:r w:rsidRPr="007C1A49">
        <w:rPr>
          <w:rFonts w:ascii="Times New Roman" w:eastAsia="Times New Roman" w:hAnsi="Times New Roman" w:cs="Times New Roman"/>
          <w:kern w:val="0"/>
          <w:sz w:val="24"/>
          <w:szCs w:val="24"/>
          <w:lang w:val="en-US" w:eastAsia="it-IT"/>
          <w14:ligatures w14:val="none"/>
        </w:rPr>
        <w:t xml:space="preserve"> are calculated from the floor of the bounding box origin of the Area of Interest (AOI).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74"/>
        <w:gridCol w:w="6448"/>
      </w:tblGrid>
      <w:tr w:rsidR="007C1A49" w:rsidRPr="007C1A49" w14:paraId="38082F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BE9B61"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Parameter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BA650"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Specification</w:t>
            </w:r>
          </w:p>
        </w:tc>
      </w:tr>
      <w:tr w:rsidR="007C1A49" w:rsidRPr="007C1A49" w14:paraId="50B2A8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0931BF"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Coordinate Reference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62628"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WGS84 / UTM zone 36N (EPSG:32636)</w:t>
            </w:r>
          </w:p>
        </w:tc>
      </w:tr>
      <w:tr w:rsidR="007C1A49" w:rsidRPr="007C1A49" w14:paraId="5BCCE8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E77935"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Cell Geometry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1D3F2"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100m x 100m squares (10,000 m²)</w:t>
            </w:r>
          </w:p>
        </w:tc>
      </w:tr>
      <w:tr w:rsidR="007C1A49" w:rsidRPr="00857F6C" w14:paraId="54F124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F1B4D1"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Alignment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2A1AB"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Snapped to 100m increments (floor of bbox origin)</w:t>
            </w:r>
          </w:p>
        </w:tc>
      </w:tr>
      <w:tr w:rsidR="007C1A49" w:rsidRPr="00857F6C" w14:paraId="2BE304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23FDB5"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Output Attributes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8EAC2"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Courier New" w:eastAsia="Times New Roman" w:hAnsi="Courier New" w:cs="Courier New"/>
                <w:kern w:val="0"/>
                <w:sz w:val="20"/>
                <w:szCs w:val="20"/>
                <w:lang w:val="en-US" w:eastAsia="it-IT"/>
                <w14:ligatures w14:val="none"/>
              </w:rPr>
              <w:t>cell_id</w:t>
            </w:r>
            <w:r w:rsidRPr="007C1A49">
              <w:rPr>
                <w:rFonts w:ascii="Times New Roman" w:eastAsia="Times New Roman" w:hAnsi="Times New Roman" w:cs="Times New Roman"/>
                <w:kern w:val="0"/>
                <w:sz w:val="24"/>
                <w:szCs w:val="24"/>
                <w:lang w:val="en-US" w:eastAsia="it-IT"/>
                <w14:ligatures w14:val="none"/>
              </w:rPr>
              <w:t xml:space="preserve">, </w:t>
            </w:r>
            <w:r w:rsidRPr="007C1A49">
              <w:rPr>
                <w:rFonts w:ascii="Courier New" w:eastAsia="Times New Roman" w:hAnsi="Courier New" w:cs="Courier New"/>
                <w:kern w:val="0"/>
                <w:sz w:val="20"/>
                <w:szCs w:val="20"/>
                <w:lang w:val="en-US" w:eastAsia="it-IT"/>
                <w14:ligatures w14:val="none"/>
              </w:rPr>
              <w:t>x_m</w:t>
            </w:r>
            <w:r w:rsidRPr="007C1A49">
              <w:rPr>
                <w:rFonts w:ascii="Times New Roman" w:eastAsia="Times New Roman" w:hAnsi="Times New Roman" w:cs="Times New Roman"/>
                <w:kern w:val="0"/>
                <w:sz w:val="24"/>
                <w:szCs w:val="24"/>
                <w:lang w:val="en-US" w:eastAsia="it-IT"/>
                <w14:ligatures w14:val="none"/>
              </w:rPr>
              <w:t>/</w:t>
            </w:r>
            <w:r w:rsidRPr="007C1A49">
              <w:rPr>
                <w:rFonts w:ascii="Courier New" w:eastAsia="Times New Roman" w:hAnsi="Courier New" w:cs="Courier New"/>
                <w:kern w:val="0"/>
                <w:sz w:val="20"/>
                <w:szCs w:val="20"/>
                <w:lang w:val="en-US" w:eastAsia="it-IT"/>
                <w14:ligatures w14:val="none"/>
              </w:rPr>
              <w:t>y_m</w:t>
            </w:r>
            <w:r w:rsidRPr="007C1A49">
              <w:rPr>
                <w:rFonts w:ascii="Times New Roman" w:eastAsia="Times New Roman" w:hAnsi="Times New Roman" w:cs="Times New Roman"/>
                <w:kern w:val="0"/>
                <w:sz w:val="24"/>
                <w:szCs w:val="24"/>
                <w:lang w:val="en-US" w:eastAsia="it-IT"/>
                <w14:ligatures w14:val="none"/>
              </w:rPr>
              <w:t xml:space="preserve"> (centroids), </w:t>
            </w:r>
            <w:r w:rsidRPr="007C1A49">
              <w:rPr>
                <w:rFonts w:ascii="Courier New" w:eastAsia="Times New Roman" w:hAnsi="Courier New" w:cs="Courier New"/>
                <w:kern w:val="0"/>
                <w:sz w:val="20"/>
                <w:szCs w:val="20"/>
                <w:lang w:val="en-US" w:eastAsia="it-IT"/>
                <w14:ligatures w14:val="none"/>
              </w:rPr>
              <w:t>xmin_m</w:t>
            </w:r>
            <w:r w:rsidRPr="007C1A49">
              <w:rPr>
                <w:rFonts w:ascii="Times New Roman" w:eastAsia="Times New Roman" w:hAnsi="Times New Roman" w:cs="Times New Roman"/>
                <w:kern w:val="0"/>
                <w:sz w:val="24"/>
                <w:szCs w:val="24"/>
                <w:lang w:val="en-US" w:eastAsia="it-IT"/>
                <w14:ligatures w14:val="none"/>
              </w:rPr>
              <w:t xml:space="preserve">, </w:t>
            </w:r>
            <w:r w:rsidRPr="007C1A49">
              <w:rPr>
                <w:rFonts w:ascii="Courier New" w:eastAsia="Times New Roman" w:hAnsi="Courier New" w:cs="Courier New"/>
                <w:kern w:val="0"/>
                <w:sz w:val="20"/>
                <w:szCs w:val="20"/>
                <w:lang w:val="en-US" w:eastAsia="it-IT"/>
                <w14:ligatures w14:val="none"/>
              </w:rPr>
              <w:t>ymin_m</w:t>
            </w:r>
            <w:r w:rsidRPr="007C1A49">
              <w:rPr>
                <w:rFonts w:ascii="Times New Roman" w:eastAsia="Times New Roman" w:hAnsi="Times New Roman" w:cs="Times New Roman"/>
                <w:kern w:val="0"/>
                <w:sz w:val="24"/>
                <w:szCs w:val="24"/>
                <w:lang w:val="en-US" w:eastAsia="it-IT"/>
                <w14:ligatures w14:val="none"/>
              </w:rPr>
              <w:t xml:space="preserve">, </w:t>
            </w:r>
            <w:r w:rsidRPr="007C1A49">
              <w:rPr>
                <w:rFonts w:ascii="Courier New" w:eastAsia="Times New Roman" w:hAnsi="Courier New" w:cs="Courier New"/>
                <w:kern w:val="0"/>
                <w:sz w:val="20"/>
                <w:szCs w:val="20"/>
                <w:lang w:val="en-US" w:eastAsia="it-IT"/>
                <w14:ligatures w14:val="none"/>
              </w:rPr>
              <w:t>xmax_m</w:t>
            </w:r>
            <w:r w:rsidRPr="007C1A49">
              <w:rPr>
                <w:rFonts w:ascii="Times New Roman" w:eastAsia="Times New Roman" w:hAnsi="Times New Roman" w:cs="Times New Roman"/>
                <w:kern w:val="0"/>
                <w:sz w:val="24"/>
                <w:szCs w:val="24"/>
                <w:lang w:val="en-US" w:eastAsia="it-IT"/>
                <w14:ligatures w14:val="none"/>
              </w:rPr>
              <w:t xml:space="preserve">, </w:t>
            </w:r>
            <w:r w:rsidRPr="007C1A49">
              <w:rPr>
                <w:rFonts w:ascii="Courier New" w:eastAsia="Times New Roman" w:hAnsi="Courier New" w:cs="Courier New"/>
                <w:kern w:val="0"/>
                <w:sz w:val="20"/>
                <w:szCs w:val="20"/>
                <w:lang w:val="en-US" w:eastAsia="it-IT"/>
                <w14:ligatures w14:val="none"/>
              </w:rPr>
              <w:t>ymax_m</w:t>
            </w:r>
          </w:p>
        </w:tc>
      </w:tr>
    </w:tbl>
    <w:p w14:paraId="3F3BC460"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 xml:space="preserve">This systematic approach resulted in a validated framework consisting of exactly </w:t>
      </w:r>
      <w:r w:rsidRPr="007C1A49">
        <w:rPr>
          <w:rFonts w:ascii="Times New Roman" w:eastAsia="Times New Roman" w:hAnsi="Times New Roman" w:cs="Times New Roman"/>
          <w:b/>
          <w:bCs/>
          <w:kern w:val="0"/>
          <w:sz w:val="24"/>
          <w:szCs w:val="24"/>
          <w:lang w:val="en-US" w:eastAsia="it-IT"/>
          <w14:ligatures w14:val="none"/>
        </w:rPr>
        <w:t>37,029 cells</w:t>
      </w:r>
      <w:r w:rsidRPr="007C1A49">
        <w:rPr>
          <w:rFonts w:ascii="Times New Roman" w:eastAsia="Times New Roman" w:hAnsi="Times New Roman" w:cs="Times New Roman"/>
          <w:kern w:val="0"/>
          <w:sz w:val="24"/>
          <w:szCs w:val="24"/>
          <w:lang w:val="en-US" w:eastAsia="it-IT"/>
          <w14:ligatures w14:val="none"/>
        </w:rPr>
        <w:t xml:space="preserve"> for the Gaza AOI. During the construction process, cells are kept as full squares (not clipped) where they intersect the AOI boundary. This preservation of geometry is critical for maintaining data integrity during spatial joins, ensuring that no activity or structural data is "lost" at the periphery of the study area.</w:t>
      </w:r>
    </w:p>
    <w:p w14:paraId="72E96E8A" w14:textId="77777777" w:rsidR="007C1A49" w:rsidRPr="007C1A49" w:rsidRDefault="007C1A49" w:rsidP="007C1A4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7C1A49">
        <w:rPr>
          <w:rFonts w:ascii="Times New Roman" w:eastAsia="Times New Roman" w:hAnsi="Times New Roman" w:cs="Times New Roman"/>
          <w:b/>
          <w:bCs/>
          <w:kern w:val="0"/>
          <w:sz w:val="36"/>
          <w:szCs w:val="36"/>
          <w:lang w:val="en-US" w:eastAsia="it-IT"/>
          <w14:ligatures w14:val="none"/>
        </w:rPr>
        <w:t>3. Structural Capacity Mapping: OSM and Remote Sensing Integration</w:t>
      </w:r>
    </w:p>
    <w:p w14:paraId="004291E8"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Structural capacity serves as the physical ceiling for population density, defined by where it is physically possible for individuals to reside. We utilize OpenStreetMap (OSM) data, validated against high-resolution satellite imagery, to populate the grid with baseline structural metrics.</w:t>
      </w:r>
    </w:p>
    <w:p w14:paraId="14E428CE" w14:textId="77777777"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7C1A49">
        <w:rPr>
          <w:rFonts w:ascii="Times New Roman" w:eastAsia="Times New Roman" w:hAnsi="Times New Roman" w:cs="Times New Roman"/>
          <w:b/>
          <w:bCs/>
          <w:kern w:val="0"/>
          <w:sz w:val="27"/>
          <w:szCs w:val="27"/>
          <w:lang w:val="en-US" w:eastAsia="it-IT"/>
          <w14:ligatures w14:val="none"/>
        </w:rPr>
        <w:t>Feature Extraction and Accessibility Metrics</w:t>
      </w:r>
    </w:p>
    <w:p w14:paraId="0FFE312B"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For each 100m cell, we calculate three core metrics to define urban density:</w:t>
      </w:r>
    </w:p>
    <w:p w14:paraId="25B107A9" w14:textId="77777777" w:rsidR="007C1A49" w:rsidRPr="007C1A49" w:rsidRDefault="007C1A49" w:rsidP="007C1A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t>Building Count (</w:t>
      </w:r>
      <w:r w:rsidRPr="007C1A49">
        <w:rPr>
          <w:rFonts w:ascii="Courier New" w:eastAsia="Times New Roman" w:hAnsi="Courier New" w:cs="Courier New"/>
          <w:b/>
          <w:bCs/>
          <w:kern w:val="0"/>
          <w:sz w:val="20"/>
          <w:szCs w:val="20"/>
          <w:lang w:val="en-US" w:eastAsia="it-IT"/>
          <w14:ligatures w14:val="none"/>
        </w:rPr>
        <w:t>bldg_count_osm</w:t>
      </w:r>
      <w:r w:rsidRPr="007C1A49">
        <w:rPr>
          <w:rFonts w:ascii="Times New Roman" w:eastAsia="Times New Roman" w:hAnsi="Times New Roman" w:cs="Times New Roman"/>
          <w:b/>
          <w:bCs/>
          <w:kern w:val="0"/>
          <w:sz w:val="24"/>
          <w:szCs w:val="24"/>
          <w:lang w:val="en-US" w:eastAsia="it-IT"/>
          <w14:ligatures w14:val="none"/>
        </w:rPr>
        <w:t>):</w:t>
      </w:r>
      <w:r w:rsidRPr="007C1A49">
        <w:rPr>
          <w:rFonts w:ascii="Times New Roman" w:eastAsia="Times New Roman" w:hAnsi="Times New Roman" w:cs="Times New Roman"/>
          <w:kern w:val="0"/>
          <w:sz w:val="24"/>
          <w:szCs w:val="24"/>
          <w:lang w:val="en-US" w:eastAsia="it-IT"/>
          <w14:ligatures w14:val="none"/>
        </w:rPr>
        <w:t xml:space="preserve"> The total number of distinct structures.</w:t>
      </w:r>
    </w:p>
    <w:p w14:paraId="137F9D8B" w14:textId="77777777" w:rsidR="007C1A49" w:rsidRPr="007C1A49" w:rsidRDefault="007C1A49" w:rsidP="007C1A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t>Building Area Sum (</w:t>
      </w:r>
      <w:r w:rsidRPr="007C1A49">
        <w:rPr>
          <w:rFonts w:ascii="Courier New" w:eastAsia="Times New Roman" w:hAnsi="Courier New" w:cs="Courier New"/>
          <w:b/>
          <w:bCs/>
          <w:kern w:val="0"/>
          <w:sz w:val="20"/>
          <w:szCs w:val="20"/>
          <w:lang w:val="en-US" w:eastAsia="it-IT"/>
          <w14:ligatures w14:val="none"/>
        </w:rPr>
        <w:t>bldg_area_sum_m2_osm</w:t>
      </w:r>
      <w:r w:rsidRPr="007C1A49">
        <w:rPr>
          <w:rFonts w:ascii="Times New Roman" w:eastAsia="Times New Roman" w:hAnsi="Times New Roman" w:cs="Times New Roman"/>
          <w:b/>
          <w:bCs/>
          <w:kern w:val="0"/>
          <w:sz w:val="24"/>
          <w:szCs w:val="24"/>
          <w:lang w:val="en-US" w:eastAsia="it-IT"/>
          <w14:ligatures w14:val="none"/>
        </w:rPr>
        <w:t>):</w:t>
      </w:r>
      <w:r w:rsidRPr="007C1A49">
        <w:rPr>
          <w:rFonts w:ascii="Times New Roman" w:eastAsia="Times New Roman" w:hAnsi="Times New Roman" w:cs="Times New Roman"/>
          <w:kern w:val="0"/>
          <w:sz w:val="24"/>
          <w:szCs w:val="24"/>
          <w:lang w:val="en-US" w:eastAsia="it-IT"/>
          <w14:ligatures w14:val="none"/>
        </w:rPr>
        <w:t xml:space="preserve"> The total cumulative footprint of buildings in square meters.</w:t>
      </w:r>
    </w:p>
    <w:p w14:paraId="21CB9D90" w14:textId="77777777" w:rsidR="007C1A49" w:rsidRPr="007C1A49" w:rsidRDefault="007C1A49" w:rsidP="007C1A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lastRenderedPageBreak/>
        <w:t>Building Area Fraction (</w:t>
      </w:r>
      <w:r w:rsidRPr="007C1A49">
        <w:rPr>
          <w:rFonts w:ascii="Courier New" w:eastAsia="Times New Roman" w:hAnsi="Courier New" w:cs="Courier New"/>
          <w:b/>
          <w:bCs/>
          <w:kern w:val="0"/>
          <w:sz w:val="20"/>
          <w:szCs w:val="20"/>
          <w:lang w:val="en-US" w:eastAsia="it-IT"/>
          <w14:ligatures w14:val="none"/>
        </w:rPr>
        <w:t>bldg_area_frac_osm</w:t>
      </w:r>
      <w:r w:rsidRPr="007C1A49">
        <w:rPr>
          <w:rFonts w:ascii="Times New Roman" w:eastAsia="Times New Roman" w:hAnsi="Times New Roman" w:cs="Times New Roman"/>
          <w:b/>
          <w:bCs/>
          <w:kern w:val="0"/>
          <w:sz w:val="24"/>
          <w:szCs w:val="24"/>
          <w:lang w:val="en-US" w:eastAsia="it-IT"/>
          <w14:ligatures w14:val="none"/>
        </w:rPr>
        <w:t>):</w:t>
      </w:r>
      <w:r w:rsidRPr="007C1A49">
        <w:rPr>
          <w:rFonts w:ascii="Times New Roman" w:eastAsia="Times New Roman" w:hAnsi="Times New Roman" w:cs="Times New Roman"/>
          <w:kern w:val="0"/>
          <w:sz w:val="24"/>
          <w:szCs w:val="24"/>
          <w:lang w:val="en-US" w:eastAsia="it-IT"/>
          <w14:ligatures w14:val="none"/>
        </w:rPr>
        <w:t xml:space="preserve"> The percentage of the 10,000 m² cell covered by structures.</w:t>
      </w:r>
    </w:p>
    <w:p w14:paraId="1B685C68"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In addition to these structural counts, the methodology incorporates the "Distance to Nearest Road" (</w:t>
      </w:r>
      <w:r w:rsidRPr="007C1A49">
        <w:rPr>
          <w:rFonts w:ascii="Courier New" w:eastAsia="Times New Roman" w:hAnsi="Courier New" w:cs="Courier New"/>
          <w:kern w:val="0"/>
          <w:sz w:val="20"/>
          <w:szCs w:val="20"/>
          <w:lang w:val="en-US" w:eastAsia="it-IT"/>
          <w14:ligatures w14:val="none"/>
        </w:rPr>
        <w:t>dist_road_m</w:t>
      </w:r>
      <w:r w:rsidRPr="007C1A49">
        <w:rPr>
          <w:rFonts w:ascii="Times New Roman" w:eastAsia="Times New Roman" w:hAnsi="Times New Roman" w:cs="Times New Roman"/>
          <w:kern w:val="0"/>
          <w:sz w:val="24"/>
          <w:szCs w:val="24"/>
          <w:lang w:val="en-US" w:eastAsia="it-IT"/>
          <w14:ligatures w14:val="none"/>
        </w:rPr>
        <w:t xml:space="preserve">) using the </w:t>
      </w:r>
      <w:r w:rsidRPr="007C1A49">
        <w:rPr>
          <w:rFonts w:ascii="Courier New" w:eastAsia="Times New Roman" w:hAnsi="Courier New" w:cs="Courier New"/>
          <w:kern w:val="0"/>
          <w:sz w:val="20"/>
          <w:szCs w:val="20"/>
          <w:lang w:val="en-US" w:eastAsia="it-IT"/>
          <w14:ligatures w14:val="none"/>
        </w:rPr>
        <w:t>st_nearest_feature</w:t>
      </w:r>
      <w:r w:rsidRPr="007C1A49">
        <w:rPr>
          <w:rFonts w:ascii="Times New Roman" w:eastAsia="Times New Roman" w:hAnsi="Times New Roman" w:cs="Times New Roman"/>
          <w:kern w:val="0"/>
          <w:sz w:val="24"/>
          <w:szCs w:val="24"/>
          <w:lang w:val="en-US" w:eastAsia="it-IT"/>
          <w14:ligatures w14:val="none"/>
        </w:rPr>
        <w:t xml:space="preserve"> logic. Within a humanitarian context, this metric is a primary predictor of human presence; it serves as a proxy for aid accessibility, mobility, and urban integration. Areas with a lower </w:t>
      </w:r>
      <w:r w:rsidRPr="007C1A49">
        <w:rPr>
          <w:rFonts w:ascii="Courier New" w:eastAsia="Times New Roman" w:hAnsi="Courier New" w:cs="Courier New"/>
          <w:kern w:val="0"/>
          <w:sz w:val="20"/>
          <w:szCs w:val="20"/>
          <w:lang w:val="en-US" w:eastAsia="it-IT"/>
          <w14:ligatures w14:val="none"/>
        </w:rPr>
        <w:t>dist_road_m</w:t>
      </w:r>
      <w:r w:rsidRPr="007C1A49">
        <w:rPr>
          <w:rFonts w:ascii="Times New Roman" w:eastAsia="Times New Roman" w:hAnsi="Times New Roman" w:cs="Times New Roman"/>
          <w:kern w:val="0"/>
          <w:sz w:val="24"/>
          <w:szCs w:val="24"/>
          <w:lang w:val="en-US" w:eastAsia="it-IT"/>
          <w14:ligatures w14:val="none"/>
        </w:rPr>
        <w:t xml:space="preserve"> typically demonstrate a higher probability of sustained human occupancy.</w:t>
      </w:r>
    </w:p>
    <w:p w14:paraId="0DADB303" w14:textId="77777777" w:rsidR="007C1A49" w:rsidRPr="007C1A49" w:rsidRDefault="007C1A49" w:rsidP="007C1A4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7C1A49">
        <w:rPr>
          <w:rFonts w:ascii="Times New Roman" w:eastAsia="Times New Roman" w:hAnsi="Times New Roman" w:cs="Times New Roman"/>
          <w:b/>
          <w:bCs/>
          <w:kern w:val="0"/>
          <w:sz w:val="36"/>
          <w:szCs w:val="36"/>
          <w:lang w:val="en-US" w:eastAsia="it-IT"/>
          <w14:ligatures w14:val="none"/>
        </w:rPr>
        <w:t>4. Damage Dynamics: UNOSAT Spatial Aggregation</w:t>
      </w:r>
    </w:p>
    <w:p w14:paraId="5BB93A87"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The strategic role of high-resolution damage assessments—using both Synthetic Aperture Radar (SAR) and optical sensors—is to dynamically reduce the "estimated capacity" of the built environment. As structures are destroyed or damaged, their probability of occupancy is down-weighted accordingly.</w:t>
      </w:r>
    </w:p>
    <w:p w14:paraId="6C072EF9" w14:textId="77777777"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7C1A49">
        <w:rPr>
          <w:rFonts w:ascii="Times New Roman" w:eastAsia="Times New Roman" w:hAnsi="Times New Roman" w:cs="Times New Roman"/>
          <w:b/>
          <w:bCs/>
          <w:kern w:val="0"/>
          <w:sz w:val="27"/>
          <w:szCs w:val="27"/>
          <w:lang w:val="en-US" w:eastAsia="it-IT"/>
          <w14:ligatures w14:val="none"/>
        </w:rPr>
        <w:t>Damage Classification Logic</w:t>
      </w:r>
    </w:p>
    <w:p w14:paraId="6AA1EFCE"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We ingest point-level damage data from UNOSAT, mapping raw codes to a standardized hierarchy. This classification accounts for both confirmed damage and areas of uncertainty (Code 6 and "unknown"), which are crucial for conservative population modeling.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24"/>
        <w:gridCol w:w="2906"/>
        <w:gridCol w:w="5192"/>
      </w:tblGrid>
      <w:tr w:rsidR="007C1A49" w:rsidRPr="007C1A49" w14:paraId="01E1C6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799AA9"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UNOSAT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12F23A8"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Damage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7AAD6"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Demographic Implication</w:t>
            </w:r>
          </w:p>
        </w:tc>
      </w:tr>
      <w:tr w:rsidR="007C1A49" w:rsidRPr="007C1A49" w14:paraId="0E3496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8A33BC"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EF9574"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Destroyed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5720A"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Near-zero occupancy probability</w:t>
            </w:r>
          </w:p>
        </w:tc>
      </w:tr>
      <w:tr w:rsidR="007C1A49" w:rsidRPr="00857F6C" w14:paraId="6EB4CE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7F183A"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12D7B"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Severely Damaged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A9B4D"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Extremely limited capacity; high risk</w:t>
            </w:r>
          </w:p>
        </w:tc>
      </w:tr>
      <w:tr w:rsidR="007C1A49" w:rsidRPr="00857F6C" w14:paraId="410B08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52F829"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71289"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Moderately Damaged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F0335"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Reduced capacity; potential for temporary use</w:t>
            </w:r>
          </w:p>
        </w:tc>
      </w:tr>
      <w:tr w:rsidR="007C1A49" w:rsidRPr="00857F6C" w14:paraId="09ACF6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5BC1BB"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4 / 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4192B"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Possibly Damaged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67897"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High uncertainty; requires indirect signal check</w:t>
            </w:r>
          </w:p>
        </w:tc>
      </w:tr>
      <w:tr w:rsidR="007C1A49" w:rsidRPr="00857F6C" w14:paraId="6D4E12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889851"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b/>
                <w:bCs/>
                <w:kern w:val="0"/>
                <w:sz w:val="24"/>
                <w:szCs w:val="24"/>
                <w:lang w:eastAsia="it-IT"/>
                <w14:ligatures w14:val="none"/>
              </w:rPr>
              <w:t>6 / Unknown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82F32"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C1A49">
              <w:rPr>
                <w:rFonts w:ascii="Times New Roman" w:eastAsia="Times New Roman" w:hAnsi="Times New Roman" w:cs="Times New Roman"/>
                <w:kern w:val="0"/>
                <w:sz w:val="24"/>
                <w:szCs w:val="24"/>
                <w:lang w:eastAsia="it-IT"/>
                <w14:ligatures w14:val="none"/>
              </w:rPr>
              <w:t>No Visible Damage / Unknown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76DDA"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Baseline capacity maintained; subject to signal validation</w:t>
            </w:r>
          </w:p>
        </w:tc>
      </w:tr>
    </w:tbl>
    <w:p w14:paraId="671A0581"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 xml:space="preserve">These points are aggregated into the grid through a spatial join, calculating the </w:t>
      </w:r>
      <w:r w:rsidRPr="007C1A49">
        <w:rPr>
          <w:rFonts w:ascii="Courier New" w:eastAsia="Times New Roman" w:hAnsi="Courier New" w:cs="Courier New"/>
          <w:kern w:val="0"/>
          <w:sz w:val="20"/>
          <w:szCs w:val="20"/>
          <w:lang w:val="en-US" w:eastAsia="it-IT"/>
          <w14:ligatures w14:val="none"/>
        </w:rPr>
        <w:t>damage_points_total</w:t>
      </w:r>
      <w:r w:rsidRPr="007C1A49">
        <w:rPr>
          <w:rFonts w:ascii="Times New Roman" w:eastAsia="Times New Roman" w:hAnsi="Times New Roman" w:cs="Times New Roman"/>
          <w:kern w:val="0"/>
          <w:sz w:val="24"/>
          <w:szCs w:val="24"/>
          <w:lang w:val="en-US" w:eastAsia="it-IT"/>
          <w14:ligatures w14:val="none"/>
        </w:rPr>
        <w:t xml:space="preserve"> per cell. By comparing the </w:t>
      </w:r>
      <w:r w:rsidRPr="007C1A49">
        <w:rPr>
          <w:rFonts w:ascii="Courier New" w:eastAsia="Times New Roman" w:hAnsi="Courier New" w:cs="Courier New"/>
          <w:kern w:val="0"/>
          <w:sz w:val="20"/>
          <w:szCs w:val="20"/>
          <w:lang w:val="en-US" w:eastAsia="it-IT"/>
          <w14:ligatures w14:val="none"/>
        </w:rPr>
        <w:t>destroyed_n</w:t>
      </w:r>
      <w:r w:rsidRPr="007C1A49">
        <w:rPr>
          <w:rFonts w:ascii="Times New Roman" w:eastAsia="Times New Roman" w:hAnsi="Times New Roman" w:cs="Times New Roman"/>
          <w:kern w:val="0"/>
          <w:sz w:val="24"/>
          <w:szCs w:val="24"/>
          <w:lang w:val="en-US" w:eastAsia="it-IT"/>
          <w14:ligatures w14:val="none"/>
        </w:rPr>
        <w:t xml:space="preserve"> and </w:t>
      </w:r>
      <w:r w:rsidRPr="007C1A49">
        <w:rPr>
          <w:rFonts w:ascii="Courier New" w:eastAsia="Times New Roman" w:hAnsi="Courier New" w:cs="Courier New"/>
          <w:kern w:val="0"/>
          <w:sz w:val="20"/>
          <w:szCs w:val="20"/>
          <w:lang w:val="en-US" w:eastAsia="it-IT"/>
          <w14:ligatures w14:val="none"/>
        </w:rPr>
        <w:t>severely_damaged_n</w:t>
      </w:r>
      <w:r w:rsidRPr="007C1A49">
        <w:rPr>
          <w:rFonts w:ascii="Times New Roman" w:eastAsia="Times New Roman" w:hAnsi="Times New Roman" w:cs="Times New Roman"/>
          <w:kern w:val="0"/>
          <w:sz w:val="24"/>
          <w:szCs w:val="24"/>
          <w:lang w:val="en-US" w:eastAsia="it-IT"/>
          <w14:ligatures w14:val="none"/>
        </w:rPr>
        <w:t xml:space="preserve"> counts against the </w:t>
      </w:r>
      <w:r w:rsidRPr="007C1A49">
        <w:rPr>
          <w:rFonts w:ascii="Courier New" w:eastAsia="Times New Roman" w:hAnsi="Courier New" w:cs="Courier New"/>
          <w:kern w:val="0"/>
          <w:sz w:val="20"/>
          <w:szCs w:val="20"/>
          <w:lang w:val="en-US" w:eastAsia="it-IT"/>
          <w14:ligatures w14:val="none"/>
        </w:rPr>
        <w:t>bldg_count_osm</w:t>
      </w:r>
      <w:r w:rsidRPr="007C1A49">
        <w:rPr>
          <w:rFonts w:ascii="Times New Roman" w:eastAsia="Times New Roman" w:hAnsi="Times New Roman" w:cs="Times New Roman"/>
          <w:kern w:val="0"/>
          <w:sz w:val="24"/>
          <w:szCs w:val="24"/>
          <w:lang w:val="en-US" w:eastAsia="it-IT"/>
          <w14:ligatures w14:val="none"/>
        </w:rPr>
        <w:t>, we can derive a "remaining habitability" score for every 100m unit.</w:t>
      </w:r>
    </w:p>
    <w:p w14:paraId="6C520266" w14:textId="77777777" w:rsidR="007C1A49" w:rsidRPr="007C1A49" w:rsidRDefault="007C1A49" w:rsidP="007C1A4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7C1A49">
        <w:rPr>
          <w:rFonts w:ascii="Times New Roman" w:eastAsia="Times New Roman" w:hAnsi="Times New Roman" w:cs="Times New Roman"/>
          <w:b/>
          <w:bCs/>
          <w:kern w:val="0"/>
          <w:sz w:val="36"/>
          <w:szCs w:val="36"/>
          <w:lang w:val="en-US" w:eastAsia="it-IT"/>
          <w14:ligatures w14:val="none"/>
        </w:rPr>
        <w:t>5. Indirect Indicators: VIIRS Night-Light (DNB) Radiance Analysis</w:t>
      </w:r>
    </w:p>
    <w:p w14:paraId="2132E969"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To differentiate between "structurally intact but abandoned" zones and "active" inhabited areas, we employ VIIRS monthly composites (VCMCFG) as a proxy for electrification and socio-economic activity.</w:t>
      </w:r>
    </w:p>
    <w:p w14:paraId="3931196B" w14:textId="77777777"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7C1A49">
        <w:rPr>
          <w:rFonts w:ascii="Times New Roman" w:eastAsia="Times New Roman" w:hAnsi="Times New Roman" w:cs="Times New Roman"/>
          <w:b/>
          <w:bCs/>
          <w:kern w:val="0"/>
          <w:sz w:val="27"/>
          <w:szCs w:val="27"/>
          <w:lang w:val="en-US" w:eastAsia="it-IT"/>
          <w14:ligatures w14:val="none"/>
        </w:rPr>
        <w:t>Radiance Statistics and Normalization</w:t>
      </w:r>
    </w:p>
    <w:p w14:paraId="2BA8E129"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 xml:space="preserve">We extract radiance metrics—specifically </w:t>
      </w:r>
      <w:r w:rsidRPr="007C1A49">
        <w:rPr>
          <w:rFonts w:ascii="Courier New" w:eastAsia="Times New Roman" w:hAnsi="Courier New" w:cs="Courier New"/>
          <w:kern w:val="0"/>
          <w:sz w:val="20"/>
          <w:szCs w:val="20"/>
          <w:lang w:val="en-US" w:eastAsia="it-IT"/>
          <w14:ligatures w14:val="none"/>
        </w:rPr>
        <w:t>mean_avg_rad</w:t>
      </w:r>
      <w:r w:rsidRPr="007C1A49">
        <w:rPr>
          <w:rFonts w:ascii="Times New Roman" w:eastAsia="Times New Roman" w:hAnsi="Times New Roman" w:cs="Times New Roman"/>
          <w:kern w:val="0"/>
          <w:sz w:val="24"/>
          <w:szCs w:val="24"/>
          <w:lang w:val="en-US" w:eastAsia="it-IT"/>
          <w14:ligatures w14:val="none"/>
        </w:rPr>
        <w:t xml:space="preserve">, </w:t>
      </w:r>
      <w:r w:rsidRPr="007C1A49">
        <w:rPr>
          <w:rFonts w:ascii="Courier New" w:eastAsia="Times New Roman" w:hAnsi="Courier New" w:cs="Courier New"/>
          <w:kern w:val="0"/>
          <w:sz w:val="20"/>
          <w:szCs w:val="20"/>
          <w:lang w:val="en-US" w:eastAsia="it-IT"/>
          <w14:ligatures w14:val="none"/>
        </w:rPr>
        <w:t>median_avg_rad</w:t>
      </w:r>
      <w:r w:rsidRPr="007C1A49">
        <w:rPr>
          <w:rFonts w:ascii="Times New Roman" w:eastAsia="Times New Roman" w:hAnsi="Times New Roman" w:cs="Times New Roman"/>
          <w:kern w:val="0"/>
          <w:sz w:val="24"/>
          <w:szCs w:val="24"/>
          <w:lang w:val="en-US" w:eastAsia="it-IT"/>
          <w14:ligatures w14:val="none"/>
        </w:rPr>
        <w:t xml:space="preserve">, and </w:t>
      </w:r>
      <w:r w:rsidRPr="007C1A49">
        <w:rPr>
          <w:rFonts w:ascii="Courier New" w:eastAsia="Times New Roman" w:hAnsi="Courier New" w:cs="Courier New"/>
          <w:kern w:val="0"/>
          <w:sz w:val="20"/>
          <w:szCs w:val="20"/>
          <w:lang w:val="en-US" w:eastAsia="it-IT"/>
          <w14:ligatures w14:val="none"/>
        </w:rPr>
        <w:t>sum_avg_rad</w:t>
      </w:r>
      <w:r w:rsidRPr="007C1A49">
        <w:rPr>
          <w:rFonts w:ascii="Times New Roman" w:eastAsia="Times New Roman" w:hAnsi="Times New Roman" w:cs="Times New Roman"/>
          <w:kern w:val="0"/>
          <w:sz w:val="24"/>
          <w:szCs w:val="24"/>
          <w:lang w:val="en-US" w:eastAsia="it-IT"/>
          <w14:ligatures w14:val="none"/>
        </w:rPr>
        <w:t xml:space="preserve">—per cell via Google Earth Engine. Given the highly skewed distribution of light in conflict zones, where isolated generator-run lights often sit in otherwise dark neighborhoods, we apply a </w:t>
      </w:r>
      <w:r w:rsidRPr="007C1A49">
        <w:rPr>
          <w:rFonts w:ascii="Times New Roman" w:eastAsia="Times New Roman" w:hAnsi="Times New Roman" w:cs="Times New Roman"/>
          <w:b/>
          <w:bCs/>
          <w:kern w:val="0"/>
          <w:sz w:val="24"/>
          <w:szCs w:val="24"/>
          <w:lang w:val="en-US" w:eastAsia="it-IT"/>
          <w14:ligatures w14:val="none"/>
        </w:rPr>
        <w:t xml:space="preserve">log1p </w:t>
      </w:r>
      <w:r w:rsidRPr="007C1A49">
        <w:rPr>
          <w:rFonts w:ascii="Times New Roman" w:eastAsia="Times New Roman" w:hAnsi="Times New Roman" w:cs="Times New Roman"/>
          <w:b/>
          <w:bCs/>
          <w:kern w:val="0"/>
          <w:sz w:val="24"/>
          <w:szCs w:val="24"/>
          <w:lang w:val="en-US" w:eastAsia="it-IT"/>
          <w14:ligatures w14:val="none"/>
        </w:rPr>
        <w:lastRenderedPageBreak/>
        <w:t>transformation</w:t>
      </w:r>
      <w:r w:rsidRPr="007C1A49">
        <w:rPr>
          <w:rFonts w:ascii="Times New Roman" w:eastAsia="Times New Roman" w:hAnsi="Times New Roman" w:cs="Times New Roman"/>
          <w:kern w:val="0"/>
          <w:sz w:val="24"/>
          <w:szCs w:val="24"/>
          <w:lang w:val="en-US" w:eastAsia="it-IT"/>
          <w14:ligatures w14:val="none"/>
        </w:rPr>
        <w:t xml:space="preserve"> (log(1 + x)). This normalization is essential for stabilizing the variance and allowing the model to detect subtle human signals that would otherwise be lost.</w:t>
      </w:r>
    </w:p>
    <w:p w14:paraId="08D299B8" w14:textId="77777777"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7C1A49">
        <w:rPr>
          <w:rFonts w:ascii="Times New Roman" w:eastAsia="Times New Roman" w:hAnsi="Times New Roman" w:cs="Times New Roman"/>
          <w:b/>
          <w:bCs/>
          <w:kern w:val="0"/>
          <w:sz w:val="27"/>
          <w:szCs w:val="27"/>
          <w:lang w:val="en-US" w:eastAsia="it-IT"/>
          <w14:ligatures w14:val="none"/>
        </w:rPr>
        <w:t>Temporal Comparison: 2023 vs. 2025</w:t>
      </w:r>
    </w:p>
    <w:p w14:paraId="125FE7B0" w14:textId="77777777" w:rsid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A comparative analysis using a "magma" scale visualization reveals a dramatic shift in Gaza’s functional habitability. In September 2023, the data shows widespread, high-intensity radiance across the urban grid, indicating a functional power network. By October 2025, this has shifted to isolated "hotspots" of activity. These hotspots likely represent localized generator-based activity in displacement zones or critical facilities, providing a stark indicator of how the "active" footprint of the population has contracted and shifted away from destroyed urban centers.</w:t>
      </w:r>
    </w:p>
    <w:p w14:paraId="10EB6720" w14:textId="770AAEC5" w:rsid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Pr>
          <w:rFonts w:ascii="Times New Roman" w:eastAsia="Times New Roman" w:hAnsi="Times New Roman" w:cs="Times New Roman"/>
          <w:noProof/>
          <w:kern w:val="0"/>
          <w:sz w:val="24"/>
          <w:szCs w:val="24"/>
          <w:lang w:val="en-US" w:eastAsia="it-IT"/>
        </w:rPr>
        <w:drawing>
          <wp:inline distT="0" distB="0" distL="0" distR="0" wp14:anchorId="6FDFA48A" wp14:editId="4D8D8F58">
            <wp:extent cx="6120130" cy="4759960"/>
            <wp:effectExtent l="0" t="0" r="0" b="2540"/>
            <wp:docPr id="20445940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4018" name="Immagine 20445940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4759960"/>
                    </a:xfrm>
                    <a:prstGeom prst="rect">
                      <a:avLst/>
                    </a:prstGeom>
                  </pic:spPr>
                </pic:pic>
              </a:graphicData>
            </a:graphic>
          </wp:inline>
        </w:drawing>
      </w:r>
    </w:p>
    <w:p w14:paraId="31C82915" w14:textId="40B77DFA"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Pr>
          <w:rFonts w:ascii="Times New Roman" w:eastAsia="Times New Roman" w:hAnsi="Times New Roman" w:cs="Times New Roman"/>
          <w:noProof/>
          <w:kern w:val="0"/>
          <w:sz w:val="24"/>
          <w:szCs w:val="24"/>
          <w:lang w:val="en-US" w:eastAsia="it-IT"/>
        </w:rPr>
        <w:lastRenderedPageBreak/>
        <w:drawing>
          <wp:inline distT="0" distB="0" distL="0" distR="0" wp14:anchorId="5A68B35D" wp14:editId="1CDFB774">
            <wp:extent cx="6120130" cy="4759960"/>
            <wp:effectExtent l="0" t="0" r="0" b="2540"/>
            <wp:docPr id="73063555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35552" name="Immagine 7306355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4759960"/>
                    </a:xfrm>
                    <a:prstGeom prst="rect">
                      <a:avLst/>
                    </a:prstGeom>
                  </pic:spPr>
                </pic:pic>
              </a:graphicData>
            </a:graphic>
          </wp:inline>
        </w:drawing>
      </w:r>
    </w:p>
    <w:p w14:paraId="0447F520" w14:textId="77777777" w:rsidR="007C1A49" w:rsidRPr="007C1A49" w:rsidRDefault="007C1A49" w:rsidP="007C1A49">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7C1A49">
        <w:rPr>
          <w:rFonts w:ascii="Times New Roman" w:eastAsia="Times New Roman" w:hAnsi="Times New Roman" w:cs="Times New Roman"/>
          <w:b/>
          <w:bCs/>
          <w:kern w:val="0"/>
          <w:sz w:val="36"/>
          <w:szCs w:val="36"/>
          <w:lang w:val="en-US" w:eastAsia="it-IT"/>
          <w14:ligatures w14:val="none"/>
        </w:rPr>
        <w:t>6. Dynamic Presence: Mobile Network Data &amp; CDR Calibration</w:t>
      </w:r>
    </w:p>
    <w:p w14:paraId="57938A37" w14:textId="7C22E5D1"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Mobile network data—specifically Call Detail Records (CDRs) and signaling data—</w:t>
      </w:r>
      <w:r>
        <w:rPr>
          <w:rFonts w:ascii="Times New Roman" w:eastAsia="Times New Roman" w:hAnsi="Times New Roman" w:cs="Times New Roman"/>
          <w:kern w:val="0"/>
          <w:sz w:val="24"/>
          <w:szCs w:val="24"/>
          <w:lang w:val="en-US" w:eastAsia="it-IT"/>
          <w14:ligatures w14:val="none"/>
        </w:rPr>
        <w:t xml:space="preserve"> would </w:t>
      </w:r>
      <w:r w:rsidRPr="007C1A49">
        <w:rPr>
          <w:rFonts w:ascii="Times New Roman" w:eastAsia="Times New Roman" w:hAnsi="Times New Roman" w:cs="Times New Roman"/>
          <w:kern w:val="0"/>
          <w:sz w:val="24"/>
          <w:szCs w:val="24"/>
          <w:lang w:val="en-US" w:eastAsia="it-IT"/>
          <w14:ligatures w14:val="none"/>
        </w:rPr>
        <w:t>provide the "active" layer of the methodology. This data tracks the movement of connected individuals independently of the physical state of the buildings around them.</w:t>
      </w:r>
    </w:p>
    <w:p w14:paraId="522A45A8" w14:textId="77777777"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7C1A49">
        <w:rPr>
          <w:rFonts w:ascii="Times New Roman" w:eastAsia="Times New Roman" w:hAnsi="Times New Roman" w:cs="Times New Roman"/>
          <w:b/>
          <w:bCs/>
          <w:kern w:val="0"/>
          <w:sz w:val="27"/>
          <w:szCs w:val="27"/>
          <w:lang w:val="en-US" w:eastAsia="it-IT"/>
          <w14:ligatures w14:val="none"/>
        </w:rPr>
        <w:t>Calibration and Resolution Disparity</w:t>
      </w:r>
    </w:p>
    <w:p w14:paraId="3ABF2A87"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Transforming active SIM counts into estimated persons requires a rigorous calibration workflow to account for multi-SIM ownership, market share of active operators, and demographic gaps (e.g., the elderly or children without devices).</w:t>
      </w:r>
    </w:p>
    <w:p w14:paraId="52CF577B" w14:textId="77777777" w:rsid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 xml:space="preserve">Crucially, there is a significant disparity in resolution between satellite and mobile data. According to our conceptual resolution comparison, satellite imagery (relative value 1.0) is approximately </w:t>
      </w:r>
      <w:r w:rsidRPr="007C1A49">
        <w:rPr>
          <w:rFonts w:ascii="Times New Roman" w:eastAsia="Times New Roman" w:hAnsi="Times New Roman" w:cs="Times New Roman"/>
          <w:b/>
          <w:bCs/>
          <w:kern w:val="0"/>
          <w:sz w:val="24"/>
          <w:szCs w:val="24"/>
          <w:lang w:val="en-US" w:eastAsia="it-IT"/>
          <w14:ligatures w14:val="none"/>
        </w:rPr>
        <w:t>three times more granular</w:t>
      </w:r>
      <w:r w:rsidRPr="007C1A49">
        <w:rPr>
          <w:rFonts w:ascii="Times New Roman" w:eastAsia="Times New Roman" w:hAnsi="Times New Roman" w:cs="Times New Roman"/>
          <w:kern w:val="0"/>
          <w:sz w:val="24"/>
          <w:szCs w:val="24"/>
          <w:lang w:val="en-US" w:eastAsia="it-IT"/>
          <w14:ligatures w14:val="none"/>
        </w:rPr>
        <w:t xml:space="preserve"> than the cell tower signaling footprints (relative value 3.0) used in mobile data. This requires the spatial disaggregation of mobile signals across the 100m grid, proportional to the building density and radiance signals identified in previous steps.</w:t>
      </w:r>
    </w:p>
    <w:p w14:paraId="7EA6098A" w14:textId="77777777" w:rsidR="0003134F" w:rsidRPr="007C1A49" w:rsidRDefault="0003134F"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67262716" w14:textId="77777777"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7C1A49">
        <w:rPr>
          <w:rFonts w:ascii="Times New Roman" w:eastAsia="Times New Roman" w:hAnsi="Times New Roman" w:cs="Times New Roman"/>
          <w:b/>
          <w:bCs/>
          <w:kern w:val="0"/>
          <w:sz w:val="27"/>
          <w:szCs w:val="27"/>
          <w:lang w:eastAsia="it-IT"/>
          <w14:ligatures w14:val="none"/>
        </w:rPr>
        <w:t>Ethical Mandates</w:t>
      </w:r>
    </w:p>
    <w:p w14:paraId="3DB66C08" w14:textId="77777777" w:rsidR="007C1A49" w:rsidRPr="007C1A49" w:rsidRDefault="007C1A49" w:rsidP="007C1A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lastRenderedPageBreak/>
        <w:t>Data Minimization &amp; Anonymization:</w:t>
      </w:r>
      <w:r w:rsidRPr="007C1A49">
        <w:rPr>
          <w:rFonts w:ascii="Times New Roman" w:eastAsia="Times New Roman" w:hAnsi="Times New Roman" w:cs="Times New Roman"/>
          <w:kern w:val="0"/>
          <w:sz w:val="24"/>
          <w:szCs w:val="24"/>
          <w:lang w:val="en-US" w:eastAsia="it-IT"/>
          <w14:ligatures w14:val="none"/>
        </w:rPr>
        <w:t xml:space="preserve"> Mobile signaling data is aggregated and anonymized at the source to prevent the tracking of individuals.</w:t>
      </w:r>
    </w:p>
    <w:p w14:paraId="1A5B3E1C" w14:textId="65E06A03" w:rsidR="007C1A49" w:rsidRPr="007C1A49" w:rsidRDefault="007C1A49" w:rsidP="007C1A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t>Protection Against Misuse:</w:t>
      </w:r>
      <w:r w:rsidRPr="007C1A49">
        <w:rPr>
          <w:rFonts w:ascii="Times New Roman" w:eastAsia="Times New Roman" w:hAnsi="Times New Roman" w:cs="Times New Roman"/>
          <w:kern w:val="0"/>
          <w:sz w:val="24"/>
          <w:szCs w:val="24"/>
          <w:lang w:val="en-US" w:eastAsia="it-IT"/>
          <w14:ligatures w14:val="none"/>
        </w:rPr>
        <w:t xml:space="preserve"> These probability surfaces are designed exclusively for </w:t>
      </w:r>
      <w:r w:rsidR="0003134F">
        <w:rPr>
          <w:rFonts w:ascii="Times New Roman" w:eastAsia="Times New Roman" w:hAnsi="Times New Roman" w:cs="Times New Roman"/>
          <w:kern w:val="0"/>
          <w:sz w:val="24"/>
          <w:szCs w:val="24"/>
          <w:lang w:val="en-US" w:eastAsia="it-IT"/>
          <w14:ligatures w14:val="none"/>
        </w:rPr>
        <w:t>statistical purposes</w:t>
      </w:r>
      <w:r w:rsidRPr="007C1A49">
        <w:rPr>
          <w:rFonts w:ascii="Times New Roman" w:eastAsia="Times New Roman" w:hAnsi="Times New Roman" w:cs="Times New Roman"/>
          <w:kern w:val="0"/>
          <w:sz w:val="24"/>
          <w:szCs w:val="24"/>
          <w:lang w:val="en-US" w:eastAsia="it-IT"/>
          <w14:ligatures w14:val="none"/>
        </w:rPr>
        <w:t>.</w:t>
      </w:r>
    </w:p>
    <w:p w14:paraId="396A6B6C" w14:textId="01AA52D4"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7C1A49">
        <w:rPr>
          <w:rFonts w:ascii="Times New Roman" w:eastAsia="Times New Roman" w:hAnsi="Times New Roman" w:cs="Times New Roman"/>
          <w:b/>
          <w:bCs/>
          <w:kern w:val="0"/>
          <w:sz w:val="27"/>
          <w:szCs w:val="27"/>
          <w:lang w:val="en-US" w:eastAsia="it-IT"/>
          <w14:ligatures w14:val="none"/>
        </w:rPr>
        <w:t>Technical Limitations and Correctives</w:t>
      </w:r>
    </w:p>
    <w:p w14:paraId="42A7F15D" w14:textId="77777777"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Several factors introduce uncertainty into the model:</w:t>
      </w:r>
    </w:p>
    <w:p w14:paraId="3FE3628A" w14:textId="77777777" w:rsidR="007C1A49" w:rsidRPr="007C1A49" w:rsidRDefault="007C1A49" w:rsidP="007C1A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t>Network Outages:</w:t>
      </w:r>
      <w:r w:rsidRPr="007C1A49">
        <w:rPr>
          <w:rFonts w:ascii="Times New Roman" w:eastAsia="Times New Roman" w:hAnsi="Times New Roman" w:cs="Times New Roman"/>
          <w:kern w:val="0"/>
          <w:sz w:val="24"/>
          <w:szCs w:val="24"/>
          <w:lang w:val="en-US" w:eastAsia="it-IT"/>
          <w14:ligatures w14:val="none"/>
        </w:rPr>
        <w:t xml:space="preserve"> Power failures can make inhabited areas appear empty.</w:t>
      </w:r>
    </w:p>
    <w:p w14:paraId="1148153D" w14:textId="77777777" w:rsidR="007C1A49" w:rsidRPr="007C1A49" w:rsidRDefault="007C1A49" w:rsidP="007C1A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t>Temporary Shelters:</w:t>
      </w:r>
      <w:r w:rsidRPr="007C1A49">
        <w:rPr>
          <w:rFonts w:ascii="Times New Roman" w:eastAsia="Times New Roman" w:hAnsi="Times New Roman" w:cs="Times New Roman"/>
          <w:kern w:val="0"/>
          <w:sz w:val="24"/>
          <w:szCs w:val="24"/>
          <w:lang w:val="en-US" w:eastAsia="it-IT"/>
          <w14:ligatures w14:val="none"/>
        </w:rPr>
        <w:t xml:space="preserve"> Standard building-detection algorithms often fail to identify tents or informal settlements.</w:t>
      </w:r>
    </w:p>
    <w:p w14:paraId="1563751E" w14:textId="77777777" w:rsidR="007C1A49" w:rsidRPr="007C1A49" w:rsidRDefault="007C1A49" w:rsidP="007C1A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b/>
          <w:bCs/>
          <w:kern w:val="0"/>
          <w:sz w:val="24"/>
          <w:szCs w:val="24"/>
          <w:lang w:val="en-US" w:eastAsia="it-IT"/>
          <w14:ligatures w14:val="none"/>
        </w:rPr>
        <w:t>The corrective role of Mobile Data:</w:t>
      </w:r>
      <w:r w:rsidRPr="007C1A49">
        <w:rPr>
          <w:rFonts w:ascii="Times New Roman" w:eastAsia="Times New Roman" w:hAnsi="Times New Roman" w:cs="Times New Roman"/>
          <w:kern w:val="0"/>
          <w:sz w:val="24"/>
          <w:szCs w:val="24"/>
          <w:lang w:val="en-US" w:eastAsia="it-IT"/>
          <w14:ligatures w14:val="none"/>
        </w:rPr>
        <w:t xml:space="preserve"> Mobile signals serve as the primary corrective layer for these issues; even if a tent is invisible to satellite sensors or a building is marked as "destroyed," an active mobile signal confirms that a population is present and needs support.</w:t>
      </w:r>
    </w:p>
    <w:p w14:paraId="2390BCF8" w14:textId="77777777" w:rsidR="007C1A49" w:rsidRPr="007C1A49" w:rsidRDefault="007C1A49" w:rsidP="007C1A4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7C1A49">
        <w:rPr>
          <w:rFonts w:ascii="Times New Roman" w:eastAsia="Times New Roman" w:hAnsi="Times New Roman" w:cs="Times New Roman"/>
          <w:b/>
          <w:bCs/>
          <w:kern w:val="0"/>
          <w:sz w:val="27"/>
          <w:szCs w:val="27"/>
          <w:lang w:val="en-US" w:eastAsia="it-IT"/>
          <w14:ligatures w14:val="none"/>
        </w:rPr>
        <w:t>Final Statement</w:t>
      </w:r>
    </w:p>
    <w:p w14:paraId="02AE2AFF" w14:textId="04B3508A" w:rsidR="007C1A49" w:rsidRPr="007C1A49" w:rsidRDefault="007C1A49" w:rsidP="007C1A49">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C1A49">
        <w:rPr>
          <w:rFonts w:ascii="Times New Roman" w:eastAsia="Times New Roman" w:hAnsi="Times New Roman" w:cs="Times New Roman"/>
          <w:kern w:val="0"/>
          <w:sz w:val="24"/>
          <w:szCs w:val="24"/>
          <w:lang w:val="en-US" w:eastAsia="it-IT"/>
          <w14:ligatures w14:val="none"/>
        </w:rPr>
        <w:t>This multi-source framework is a strategic tool for humanitarian prioritization, not surveillance. By combining the structural certainty of a 100m standardized grid with the dynamic reality of mobile signaling and VIIRS radiance, we provide an uncertainty-aware basis for protecting the most vulnerable populations in the Gaza Strip. The methodology is designed to adapt to the fluid reality of displacement, ensuring that no population remains invisible.</w:t>
      </w:r>
    </w:p>
    <w:p w14:paraId="7F8A4B1A" w14:textId="77777777" w:rsidR="00BD2CA0" w:rsidRPr="007C1A49" w:rsidRDefault="00BD2CA0">
      <w:pPr>
        <w:rPr>
          <w:lang w:val="en-US"/>
        </w:rPr>
      </w:pPr>
    </w:p>
    <w:sectPr w:rsidR="00BD2CA0" w:rsidRPr="007C1A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54EB5"/>
    <w:multiLevelType w:val="multilevel"/>
    <w:tmpl w:val="5D16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D87E07"/>
    <w:multiLevelType w:val="multilevel"/>
    <w:tmpl w:val="69E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E1DF3"/>
    <w:multiLevelType w:val="multilevel"/>
    <w:tmpl w:val="6074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47A89"/>
    <w:multiLevelType w:val="multilevel"/>
    <w:tmpl w:val="725C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64148E"/>
    <w:multiLevelType w:val="multilevel"/>
    <w:tmpl w:val="6B8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7022">
    <w:abstractNumId w:val="3"/>
  </w:num>
  <w:num w:numId="2" w16cid:durableId="1857109978">
    <w:abstractNumId w:val="0"/>
  </w:num>
  <w:num w:numId="3" w16cid:durableId="94443282">
    <w:abstractNumId w:val="4"/>
  </w:num>
  <w:num w:numId="4" w16cid:durableId="702025827">
    <w:abstractNumId w:val="2"/>
  </w:num>
  <w:num w:numId="5" w16cid:durableId="2113285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49"/>
    <w:rsid w:val="0003134F"/>
    <w:rsid w:val="00657088"/>
    <w:rsid w:val="00771654"/>
    <w:rsid w:val="007C1A49"/>
    <w:rsid w:val="00857F6C"/>
    <w:rsid w:val="00997AFB"/>
    <w:rsid w:val="00BD2C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91EA"/>
  <w15:chartTrackingRefBased/>
  <w15:docId w15:val="{4A73ADF2-522C-4A79-BA6F-195BC8AA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C1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C1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C1A4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C1A4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C1A4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C1A4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1A4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1A4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1A4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1A4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C1A4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C1A4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C1A4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C1A4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C1A4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1A4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1A4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1A4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1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1A4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1A4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1A4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1A4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1A49"/>
    <w:rPr>
      <w:i/>
      <w:iCs/>
      <w:color w:val="404040" w:themeColor="text1" w:themeTint="BF"/>
    </w:rPr>
  </w:style>
  <w:style w:type="paragraph" w:styleId="Paragrafoelenco">
    <w:name w:val="List Paragraph"/>
    <w:basedOn w:val="Normale"/>
    <w:uiPriority w:val="34"/>
    <w:qFormat/>
    <w:rsid w:val="007C1A49"/>
    <w:pPr>
      <w:ind w:left="720"/>
      <w:contextualSpacing/>
    </w:pPr>
  </w:style>
  <w:style w:type="character" w:styleId="Enfasiintensa">
    <w:name w:val="Intense Emphasis"/>
    <w:basedOn w:val="Carpredefinitoparagrafo"/>
    <w:uiPriority w:val="21"/>
    <w:qFormat/>
    <w:rsid w:val="007C1A49"/>
    <w:rPr>
      <w:i/>
      <w:iCs/>
      <w:color w:val="2F5496" w:themeColor="accent1" w:themeShade="BF"/>
    </w:rPr>
  </w:style>
  <w:style w:type="paragraph" w:styleId="Citazioneintensa">
    <w:name w:val="Intense Quote"/>
    <w:basedOn w:val="Normale"/>
    <w:next w:val="Normale"/>
    <w:link w:val="CitazioneintensaCarattere"/>
    <w:uiPriority w:val="30"/>
    <w:qFormat/>
    <w:rsid w:val="007C1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C1A49"/>
    <w:rPr>
      <w:i/>
      <w:iCs/>
      <w:color w:val="2F5496" w:themeColor="accent1" w:themeShade="BF"/>
    </w:rPr>
  </w:style>
  <w:style w:type="character" w:styleId="Riferimentointenso">
    <w:name w:val="Intense Reference"/>
    <w:basedOn w:val="Carpredefinitoparagrafo"/>
    <w:uiPriority w:val="32"/>
    <w:qFormat/>
    <w:rsid w:val="007C1A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1404</Words>
  <Characters>8008</Characters>
  <Application>Microsoft Office Word</Application>
  <DocSecurity>0</DocSecurity>
  <Lines>66</Lines>
  <Paragraphs>18</Paragraphs>
  <ScaleCrop>false</ScaleCrop>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3</cp:revision>
  <dcterms:created xsi:type="dcterms:W3CDTF">2026-02-23T18:27:00Z</dcterms:created>
  <dcterms:modified xsi:type="dcterms:W3CDTF">2026-02-24T11:46:00Z</dcterms:modified>
</cp:coreProperties>
</file>