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TRUST ACCOUNTING AGREEMENT</w:t>
      </w:r>
    </w:p>
    <w:p>
      <w:pPr>
        <w:jc w:val="center"/>
      </w:pPr>
      <w:r>
        <w:rPr>
          <w:b/>
          <w:sz w:val="24"/>
        </w:rPr>
        <w:t>AND DISCLOSURE STATEMENT</w:t>
      </w:r>
    </w:p>
    <w:p/>
    <w:p>
      <w:r>
        <w:rPr>
          <w:sz w:val="20"/>
        </w:rPr>
        <w:t>Secure Account Service LLC, an Arizona limited liability company ("SAS") agrees to act as an independent third-party account administrator for the parties to this Agreement pursuant to the terms expressed herein. By accepting this Agreement and designating Secure Account Service as the independent account administrator, the parties hereto mutually agree to the following terms and conditions:</w:t>
      </w:r>
    </w:p>
    <w:p>
      <w:r>
        <w:rPr>
          <w:b/>
          <w:sz w:val="20"/>
        </w:rPr>
        <w:t>SCOPE OF SERVICES.</w:t>
      </w:r>
      <w:r>
        <w:rPr>
          <w:sz w:val="20"/>
        </w:rPr>
        <w:t xml:space="preserve"> Secure Account Service shall collect and disburse funds as authorized by the undersigned Client in the underlying Agreement (the "Contract") between the Client and the Referring Company ("RC"), a copy of which will be provided to Secure Account Service, and providing related transactional accounting of Client's funds and/or accounts as described herein. Payment for Secure Account Service's processing fees shall be a part of the Contract and agreed upon by the signing parties to the Contract. The duties and responsibilities of Secure Account Service are limited to those expressly set forth in this Agreement. No party shall have the right to change or modify this Agreement unless agreed upon in writing by all parties.</w:t>
      </w:r>
    </w:p>
    <w:p>
      <w:r>
        <w:rPr>
          <w:sz w:val="20"/>
        </w:rPr>
        <w:t>SAS will provide 24/7 online access to both parties to view all transactions, deposits and disbursements related to the contract. SAS will process deposits and disbursements through ACH or EFT for all transactions. Paper drafts electronically processed by our financial institution that are returned for any reason will be resubmitted electronically by SAS, as directed. Parties to the contract will have account reporting and history available to them for download via CSV files from our site. Customer service representatives will be available at our toll-free number 1-866-845-8309, during business hours 8-4, Monday through Friday, for any type of account assistance.</w:t>
      </w:r>
    </w:p>
    <w:p>
      <w:r>
        <w:rPr>
          <w:b/>
          <w:sz w:val="20"/>
        </w:rPr>
        <w:t>TRUST ACCOUNT(S)/LOCKBOX(S).</w:t>
      </w:r>
      <w:r>
        <w:rPr>
          <w:sz w:val="20"/>
        </w:rPr>
        <w:t xml:space="preserve"> Client's funds will be deposited, held in and disbursed from an FDIC-insured trust account(s) at a U.S. banking institution(s) of SAS's choice. Client acknowledges the funds held in SAS's trust accounts(s) shall not bear interest, and are insured only to the FDIC limits established by governmental authorities and existing at the time of loss. Client agrees SAS may receive earnings credits related to the trust account(s) to offset certain banking charges and those credits shall inure entirely to the benefit of SAS, with no obligation to pass them along to the client.</w:t>
      </w:r>
    </w:p>
    <w:p>
      <w:r>
        <w:rPr>
          <w:b/>
          <w:sz w:val="20"/>
        </w:rPr>
        <w:t>COMMUNICATIONS.</w:t>
      </w:r>
      <w:r>
        <w:rPr>
          <w:sz w:val="20"/>
        </w:rPr>
        <w:t xml:space="preserve"> Client agrees to all communications, disclosures or required statements or receipts for any account activity related to this Agreement shall be distributed by electronic mail or via SAS's website. Client understands standard, unencrypted electronic mail comes with certain risks of detection or interception during transit or reception. Client assumes this risk and agrees SAS may communicate with Client information related to its account through electronic means. Client affirms it is able to electronically receive, download and print such disclosures, communications and statements or receipts. Upon Client's request, SAS will provide paper copies of all statements, communications and disclosures are available upon request.</w:t>
      </w:r>
    </w:p>
    <w:p>
      <w:r>
        <w:rPr>
          <w:b/>
          <w:sz w:val="20"/>
        </w:rPr>
        <w:t>DISBURSEMENTS.</w:t>
      </w:r>
      <w:r>
        <w:rPr>
          <w:sz w:val="20"/>
        </w:rPr>
        <w:t xml:space="preserve"> By signing this Agreement, Client authorizes and directs SAS to automatically disburse regular monthly payments to the RC according to the terms of the Client's RC Contract and/or settlement letter, without additional notification. Any changes to the instructions as outlined in the RC's Contract must be received in writing five (5) business days prior to scheduled payments. If Client wishes to decline to payment and/or disbursement from Client's account, Client must notify SAS within twenty-four (24) hours from the scheduled payment, otherwise the payment and/or disbursement will be deemed to be approved by Client and will be disbursed according to the Client's RC Contract and/or settlement letter; Client may not thereafter revoke approval. If Client declines to disburse payment and/or disbursement arranged be RC or creditor, Client understands there could be a charge to Client's debt program with RC. Client should contact its RC immediately for information.</w:t>
      </w:r>
    </w:p>
    <w:p>
      <w:pPr>
        <w:jc w:val="center"/>
      </w:pPr>
      <w:r>
        <w:rPr>
          <w:sz w:val="16"/>
        </w:rPr>
        <w:t>* Web: www.secureaccountservice.com * Phone: 1-866-845-8309 * E-mail: customerservice@securepaysas.com *</w:t>
        <w:br/>
        <w:t>* Mail payments to: Secure Account Service, PO Box 1110, Lake Havasu City, AZ 86405 *</w:t>
      </w:r>
    </w:p>
    <w:p>
      <w:r>
        <w:br w:type="page"/>
      </w:r>
    </w:p>
    <w:p>
      <w:r>
        <w:rPr>
          <w:b/>
          <w:sz w:val="20"/>
        </w:rPr>
        <w:t>LIMITATION OF LIABILITY.</w:t>
      </w:r>
      <w:r>
        <w:rPr>
          <w:sz w:val="20"/>
        </w:rPr>
        <w:t xml:space="preserve"> SAS is not a party to the Agreement between Client and RC, and SAS does not participate in any underlying debt negotiations. All questions regarding Client's debt program should be directed to the RC. Client understands it is under no obligation to open an account with SAS as part of Client's debt program. Client acknowledges and understands SAS makes no representations as to the RC's compliance with any state and/or federal laws. SAS shall not be responsible or liable for the sufficiency, accuracy, correctness of the Contract, its execution or manner of execution, or validity. SAS nor any service provider to SAS shall not be liable for failing to complete a transaction if the Client does not have sufficient, immediately available and good funds in its account to complete the transaction, or if any circumstance beyond SAS's control prevents the completion of the transaction, including without limitation the acts or omissions of any ACH, check or other processor, the National Automated Clearing House Association, the Federal Reserve System, or any bank, or the directive of any regulatory agency, or in any respect on account of the identity, authority, or rights of the persons executing or delivering, or purporting to execute or deliver, any paper, instrument or document. It is agreed and understood by the parties hereto that SAS will not be called upon to construe any contract or instrument deposited herewith. As a controlling part of the consideration for the acceptance of this Agreement, it is agreed that SAS shall not be liable for any of its acts or omissions done in good faith, nor shall it be liable for any claims, demands, losses or damages made, claimed or suffered by any party to this Agreement, excepting such as may arise through or be caused by SAS's gross negligence. Client agrees that SAS's liability shall be limited to actual damages attributed to an act of gross negligence by SAS and/or its employees and Client hereby waives recovery of any consequential, special, exemplary or punitive damages in connection with any claim it may have against SAS.</w:t>
      </w:r>
    </w:p>
    <w:p>
      <w:r>
        <w:rPr>
          <w:b/>
          <w:sz w:val="20"/>
        </w:rPr>
        <w:t>INDEMNIFICATION.</w:t>
      </w:r>
      <w:r>
        <w:rPr>
          <w:sz w:val="20"/>
        </w:rPr>
        <w:t xml:space="preserve"> The undersigned parties to this Agreement hereby jointly and severally promise and agree to indemnify and hold harmless SAS and its subsidiaries, officers, directors, agents, partners, employees and attorneys from and against any loss, liabilities, damages, costs or expenses, judgments, attorney's fees, or other obligations of any kind, including any third-party demands, claims or actions, which SAS may incur or suffer in connection with or arising out of this Agreement or the Contract, except such as may be caused by SAS's gross negligence. The undersigned parties further agree to defend SAS at their own expense against all demands, claims or actions brought by any third-parties in connection with this Agreement or the Contract. SAS is hereby given a lien and a contractual right to set off upon and against all rights, titles and interests of each of the parties to the Agreement in all processing money, property, paper, instruments, documents and all monies arising therefrom to protect SAS's rights to indemnification and reimbursement under this Agreement. This right to set off may be exercised at SAS's sole option without notice to the parties hereto or any party interested in this Agreement.</w:t>
      </w:r>
    </w:p>
    <w:p>
      <w:r>
        <w:rPr>
          <w:b/>
          <w:sz w:val="20"/>
        </w:rPr>
        <w:t>INTERPLEADER AND DUTY TO DEFEND.</w:t>
      </w:r>
      <w:r>
        <w:rPr>
          <w:sz w:val="20"/>
        </w:rPr>
        <w:t xml:space="preserve"> In the event any conflict or controversy arises concerning this Agreement or any conflicting demands are made upon SAS arising out of or relating to this Agreement, the parties hereto expressly agree and consent that SAS shall have the absolute right at its sole option to either (a) withhold all money or documents deposited herewith and stop all further performance of this Agreement until a mutual agreement has been reached between all parties hereto, or (b) initiate an interpleader action to cause the parties to interplead and litigate their several claims and rights amongst themselves. In the event SAS files an interpleader action, or in the event any party interested in this Agreement files an action against SAS, SAS shall be fully released and discharged from all obligations imposed upon it in this Agreement. In the event a suit is brought by or against SAS, the parties to this Agreement jointly and severally agree to pay SAS all costs, expenses and reasonable attorney's fees which it may expend or incur in such action.</w:t>
      </w:r>
    </w:p>
    <w:p>
      <w:r>
        <w:rPr>
          <w:b/>
          <w:sz w:val="20"/>
        </w:rPr>
        <w:t>CONTINUITY OF AGREEMENT.</w:t>
      </w:r>
      <w:r>
        <w:rPr>
          <w:sz w:val="20"/>
        </w:rPr>
        <w:t xml:space="preserve"> This Agreement shall be binding on all parties hereto, their heirs, legal representatives, successors and assigns.</w:t>
      </w:r>
    </w:p>
    <w:p>
      <w:pPr>
        <w:jc w:val="center"/>
      </w:pPr>
      <w:r>
        <w:rPr>
          <w:sz w:val="16"/>
        </w:rPr>
        <w:t>* Web: www.secureaccountservice.com * Phone: 1-866-845-8309 * E-mail: customerservice@securepaysas.com *</w:t>
        <w:br/>
        <w:t>* Mail payments to: Secure Account Service, PO Box 1110, Lake Havasu City, AZ 86405 *</w:t>
      </w:r>
    </w:p>
    <w:p>
      <w:r>
        <w:br w:type="page"/>
      </w:r>
    </w:p>
    <w:p>
      <w:r>
        <w:rPr>
          <w:b/>
          <w:sz w:val="20"/>
        </w:rPr>
        <w:t>CHOICE OF LAW AND VENUE.</w:t>
      </w:r>
      <w:r>
        <w:rPr>
          <w:sz w:val="20"/>
        </w:rPr>
        <w:t xml:space="preserve"> All disputes or controversies arising from this Agreement, or related thereto, shall be governed by the laws of the State of Arizona. The appropriate venue for adjudication shall be Mohave County, Arizona. In the event of any conflict between the terms of this Agreement and the Contract, with regard to venue, the venue specified in the Contract shall be controlling.</w:t>
      </w:r>
    </w:p>
    <w:p>
      <w:r>
        <w:rPr>
          <w:b/>
          <w:sz w:val="20"/>
        </w:rPr>
        <w:t>BINDING ARBITRATION.</w:t>
      </w:r>
      <w:r>
        <w:rPr>
          <w:sz w:val="20"/>
        </w:rPr>
        <w:t xml:space="preserve"> Client agrees any dispute or claim arising out of this Agreement or otherwise related to SAS's services to Client shall be resolved through binding arbitration with the American Arbitration Association or another qualified arbitrator agreed upon by the parties, and the decision or the arbitrator shall be final and enforceable by a court of competent jurisdiction.</w:t>
      </w:r>
    </w:p>
    <w:p>
      <w:r>
        <w:rPr>
          <w:b/>
          <w:sz w:val="20"/>
        </w:rPr>
        <w:t>ATTORNEYS' FEES AND COSTS.</w:t>
      </w:r>
      <w:r>
        <w:rPr>
          <w:sz w:val="20"/>
        </w:rPr>
        <w:t xml:space="preserve"> Client agrees that the successful party to any action between SAS and Client shall be entitled to the recovery of its reasonable attorneys' fees and costs.</w:t>
      </w:r>
    </w:p>
    <w:p>
      <w:r>
        <w:rPr>
          <w:b/>
          <w:sz w:val="20"/>
        </w:rPr>
        <w:t>FEES.</w:t>
      </w:r>
      <w:r>
        <w:rPr>
          <w:sz w:val="20"/>
        </w:rPr>
        <w:t xml:space="preserve"> Client agrees to pay SAS for its services and authorizes SAS to debit Client's designated bank account or credit card, in addition to any other amounts Client has authorized, for the payment of SAS's below-stated fees and charges as they become due. SAS's monthly service charge will be deemed earned in full on the first day Client's account is opened and on the first day of each calendar month thereafter during which the account is open. No monthly fee or recurring charge will be prorated, regardless of what day of the month Client's account is opened or closed. All other charges will be deemed earned at the time of the transaction or event that gives rise to the charge. Fees are subject to change after providing client with notice thirty (30) days in advance.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sz w:val="18"/>
              </w:rPr>
              <w:t>Account Set-Up</w:t>
            </w:r>
          </w:p>
        </w:tc>
        <w:tc>
          <w:tcPr>
            <w:tcW w:type="dxa" w:w="1656"/>
          </w:tcPr>
          <w:p>
            <w:r>
              <w:rPr>
                <w:sz w:val="18"/>
              </w:rPr>
              <w:t>$10.00</w:t>
            </w:r>
          </w:p>
        </w:tc>
        <w:tc>
          <w:tcPr>
            <w:tcW w:type="dxa" w:w="1656"/>
          </w:tcPr>
          <w:p>
            <w:r>
              <w:rPr>
                <w:sz w:val="18"/>
              </w:rPr>
              <w:t>Returned / Declined Items</w:t>
            </w:r>
          </w:p>
        </w:tc>
        <w:tc>
          <w:tcPr>
            <w:tcW w:type="dxa" w:w="1656"/>
          </w:tcPr>
          <w:p>
            <w:r>
              <w:rPr>
                <w:sz w:val="18"/>
              </w:rPr>
              <w:t>$10.00</w:t>
            </w:r>
          </w:p>
        </w:tc>
        <w:tc>
          <w:tcPr>
            <w:tcW w:type="dxa" w:w="1656"/>
          </w:tcPr>
          <w:p>
            <w:r>
              <w:rPr>
                <w:sz w:val="18"/>
              </w:rPr>
              <w:t>Settlement (Single Pmt)</w:t>
            </w:r>
          </w:p>
        </w:tc>
        <w:tc>
          <w:tcPr>
            <w:tcW w:type="dxa" w:w="1656"/>
          </w:tcPr>
          <w:p>
            <w:r>
              <w:rPr>
                <w:sz w:val="18"/>
              </w:rPr>
              <w:t>$10.00</w:t>
            </w:r>
          </w:p>
        </w:tc>
      </w:tr>
      <w:tr>
        <w:tc>
          <w:tcPr>
            <w:tcW w:type="dxa" w:w="1656"/>
          </w:tcPr>
          <w:p>
            <w:r>
              <w:rPr>
                <w:sz w:val="18"/>
              </w:rPr>
              <w:t>Monthly Service</w:t>
            </w:r>
          </w:p>
        </w:tc>
        <w:tc>
          <w:tcPr>
            <w:tcW w:type="dxa" w:w="1656"/>
          </w:tcPr>
          <w:p>
            <w:r>
              <w:rPr>
                <w:sz w:val="18"/>
              </w:rPr>
              <w:t>$15.00</w:t>
            </w:r>
          </w:p>
        </w:tc>
        <w:tc>
          <w:tcPr>
            <w:tcW w:type="dxa" w:w="1656"/>
          </w:tcPr>
          <w:p>
            <w:r>
              <w:rPr>
                <w:sz w:val="18"/>
              </w:rPr>
              <w:t>Returned (Disputed Items)</w:t>
            </w:r>
          </w:p>
        </w:tc>
        <w:tc>
          <w:tcPr>
            <w:tcW w:type="dxa" w:w="1656"/>
          </w:tcPr>
          <w:p>
            <w:r>
              <w:rPr>
                <w:sz w:val="18"/>
              </w:rPr>
              <w:t>$25.00</w:t>
            </w:r>
          </w:p>
        </w:tc>
        <w:tc>
          <w:tcPr>
            <w:tcW w:type="dxa" w:w="1656"/>
          </w:tcPr>
          <w:p>
            <w:r>
              <w:rPr>
                <w:sz w:val="18"/>
              </w:rPr>
              <w:t>Settlement (Multiple Pmts)</w:t>
            </w:r>
          </w:p>
        </w:tc>
        <w:tc>
          <w:tcPr>
            <w:tcW w:type="dxa" w:w="1656"/>
          </w:tcPr>
          <w:p>
            <w:r>
              <w:rPr>
                <w:sz w:val="18"/>
              </w:rPr>
              <w:t>$5.00</w:t>
            </w:r>
          </w:p>
        </w:tc>
      </w:tr>
      <w:tr>
        <w:tc>
          <w:tcPr>
            <w:tcW w:type="dxa" w:w="1656"/>
          </w:tcPr>
          <w:p>
            <w:r>
              <w:rPr>
                <w:sz w:val="18"/>
              </w:rPr>
              <w:t>Schedule Changes</w:t>
            </w:r>
          </w:p>
        </w:tc>
        <w:tc>
          <w:tcPr>
            <w:tcW w:type="dxa" w:w="1656"/>
          </w:tcPr>
          <w:p>
            <w:r>
              <w:rPr>
                <w:sz w:val="18"/>
              </w:rPr>
              <w:t>$10.00</w:t>
            </w:r>
          </w:p>
        </w:tc>
        <w:tc>
          <w:tcPr>
            <w:tcW w:type="dxa" w:w="1656"/>
          </w:tcPr>
          <w:p>
            <w:r>
              <w:rPr>
                <w:sz w:val="18"/>
              </w:rPr>
              <w:t>Stop Payment Fee</w:t>
            </w:r>
          </w:p>
        </w:tc>
        <w:tc>
          <w:tcPr>
            <w:tcW w:type="dxa" w:w="1656"/>
          </w:tcPr>
          <w:p>
            <w:r>
              <w:rPr>
                <w:sz w:val="18"/>
              </w:rPr>
              <w:t>$40.00</w:t>
            </w:r>
          </w:p>
        </w:tc>
        <w:tc>
          <w:tcPr>
            <w:tcW w:type="dxa" w:w="1656"/>
          </w:tcPr>
          <w:p>
            <w:r>
              <w:rPr>
                <w:sz w:val="18"/>
              </w:rPr>
              <w:t>Overnight Delivery</w:t>
            </w:r>
          </w:p>
        </w:tc>
        <w:tc>
          <w:tcPr>
            <w:tcW w:type="dxa" w:w="1656"/>
          </w:tcPr>
          <w:p>
            <w:r>
              <w:rPr>
                <w:sz w:val="18"/>
              </w:rPr>
              <w:t>$25.00</w:t>
            </w:r>
          </w:p>
        </w:tc>
      </w:tr>
      <w:tr>
        <w:tc>
          <w:tcPr>
            <w:tcW w:type="dxa" w:w="1656"/>
          </w:tcPr>
          <w:p>
            <w:r>
              <w:rPr>
                <w:sz w:val="18"/>
              </w:rPr>
              <w:t>Wire Transfer (Incoming &amp; Outgoing)</w:t>
            </w:r>
          </w:p>
        </w:tc>
        <w:tc>
          <w:tcPr>
            <w:tcW w:type="dxa" w:w="1656"/>
          </w:tcPr>
          <w:p>
            <w:r>
              <w:rPr>
                <w:sz w:val="18"/>
              </w:rPr>
              <w:t>$50.00</w:t>
            </w:r>
          </w:p>
        </w:tc>
        <w:tc>
          <w:tcPr>
            <w:tcW w:type="dxa" w:w="1656"/>
          </w:tcPr>
          <w:p>
            <w:r>
              <w:rPr>
                <w:sz w:val="18"/>
              </w:rPr>
            </w:r>
          </w:p>
        </w:tc>
        <w:tc>
          <w:tcPr>
            <w:tcW w:type="dxa" w:w="1656"/>
          </w:tcPr>
          <w:p>
            <w:r>
              <w:rPr>
                <w:sz w:val="18"/>
              </w:rPr>
            </w:r>
          </w:p>
        </w:tc>
        <w:tc>
          <w:tcPr>
            <w:tcW w:type="dxa" w:w="1656"/>
          </w:tcPr>
          <w:p>
            <w:r>
              <w:rPr>
                <w:sz w:val="18"/>
              </w:rPr>
            </w:r>
          </w:p>
        </w:tc>
        <w:tc>
          <w:tcPr>
            <w:tcW w:type="dxa" w:w="1656"/>
          </w:tcPr>
          <w:p>
            <w:r>
              <w:rPr>
                <w:sz w:val="18"/>
              </w:rPr>
            </w:r>
          </w:p>
        </w:tc>
      </w:tr>
    </w:tbl>
    <w:p/>
    <w:tbl>
      <w:tblPr>
        <w:tblStyle w:val="TableGrid"/>
        <w:tblW w:type="auto" w:w="0"/>
        <w:tblLook w:firstColumn="1" w:firstRow="1" w:lastColumn="0" w:lastRow="0" w:noHBand="0" w:noVBand="1" w:val="04A0"/>
      </w:tblPr>
      <w:tblGrid>
        <w:gridCol w:w="3312"/>
        <w:gridCol w:w="3312"/>
        <w:gridCol w:w="3312"/>
      </w:tblGrid>
      <w:tr>
        <w:tc>
          <w:tcPr>
            <w:tcW w:type="dxa" w:w="3312"/>
          </w:tcPr>
          <w:p>
            <w:r>
              <w:rPr>
                <w:sz w:val="18"/>
              </w:rPr>
              <w:t>{{ContactLastName}}</w:t>
            </w:r>
          </w:p>
        </w:tc>
        <w:tc>
          <w:tcPr>
            <w:tcW w:type="dxa" w:w="3312"/>
          </w:tcPr>
          <w:p>
            <w:r>
              <w:rPr>
                <w:sz w:val="18"/>
              </w:rPr>
              <w:t>{{ContactFirstName}}</w:t>
            </w:r>
          </w:p>
        </w:tc>
        <w:tc>
          <w:tcPr>
            <w:tcW w:type="dxa" w:w="3312"/>
          </w:tcPr>
          <w:p>
            <w:r>
              <w:rPr>
                <w:sz w:val="18"/>
              </w:rPr>
              <w:t>{{ContactDOB}}</w:t>
            </w:r>
          </w:p>
        </w:tc>
      </w:tr>
      <w:tr>
        <w:tc>
          <w:tcPr>
            <w:tcW w:type="dxa" w:w="3312"/>
          </w:tcPr>
          <w:p>
            <w:r>
              <w:rPr>
                <w:i/>
                <w:color w:val="666666"/>
                <w:sz w:val="18"/>
              </w:rPr>
              <w:t>Last Name</w:t>
            </w:r>
          </w:p>
        </w:tc>
        <w:tc>
          <w:tcPr>
            <w:tcW w:type="dxa" w:w="3312"/>
          </w:tcPr>
          <w:p>
            <w:r>
              <w:rPr>
                <w:i/>
                <w:color w:val="666666"/>
                <w:sz w:val="18"/>
              </w:rPr>
              <w:t>First Name</w:t>
            </w:r>
          </w:p>
        </w:tc>
        <w:tc>
          <w:tcPr>
            <w:tcW w:type="dxa" w:w="3312"/>
          </w:tcPr>
          <w:p>
            <w:r>
              <w:rPr>
                <w:i/>
                <w:color w:val="666666"/>
                <w:sz w:val="18"/>
              </w:rPr>
              <w:t>Date of Birth</w:t>
            </w:r>
          </w:p>
        </w:tc>
      </w:tr>
      <w:tr>
        <w:tc>
          <w:tcPr>
            <w:tcW w:type="dxa" w:w="3312"/>
          </w:tcPr>
          <w:p>
            <w:r>
              <w:rPr>
                <w:sz w:val="18"/>
              </w:rPr>
              <w:t>{{ClientAddress}}</w:t>
            </w:r>
          </w:p>
        </w:tc>
        <w:tc>
          <w:tcPr>
            <w:tcW w:type="dxa" w:w="3312"/>
          </w:tcPr>
          <w:p>
            <w:r>
              <w:rPr>
                <w:sz w:val="18"/>
              </w:rPr>
              <w:t>{{ContactHomePhone}}</w:t>
            </w:r>
          </w:p>
        </w:tc>
        <w:tc>
          <w:tcPr>
            <w:tcW w:type="dxa" w:w="3312"/>
          </w:tcPr>
          <w:p>
            <w:r>
              <w:rPr>
                <w:sz w:val="18"/>
              </w:rPr>
              <w:t>{{ContactCellPhone}}</w:t>
            </w:r>
          </w:p>
        </w:tc>
      </w:tr>
      <w:tr>
        <w:tc>
          <w:tcPr>
            <w:tcW w:type="dxa" w:w="3312"/>
          </w:tcPr>
          <w:p>
            <w:r>
              <w:rPr>
                <w:i/>
                <w:color w:val="666666"/>
                <w:sz w:val="18"/>
              </w:rPr>
              <w:t>Street Address</w:t>
            </w:r>
          </w:p>
        </w:tc>
        <w:tc>
          <w:tcPr>
            <w:tcW w:type="dxa" w:w="3312"/>
          </w:tcPr>
          <w:p>
            <w:r>
              <w:rPr>
                <w:i/>
                <w:color w:val="666666"/>
                <w:sz w:val="18"/>
              </w:rPr>
              <w:t>Home Phone #</w:t>
            </w:r>
          </w:p>
        </w:tc>
        <w:tc>
          <w:tcPr>
            <w:tcW w:type="dxa" w:w="3312"/>
          </w:tcPr>
          <w:p>
            <w:r>
              <w:rPr>
                <w:i/>
                <w:color w:val="666666"/>
                <w:sz w:val="18"/>
              </w:rPr>
              <w:t>Cell Phone #</w:t>
            </w:r>
          </w:p>
        </w:tc>
      </w:tr>
      <w:tr>
        <w:tc>
          <w:tcPr>
            <w:tcW w:type="dxa" w:w="3312"/>
          </w:tcPr>
          <w:p>
            <w:r>
              <w:rPr>
                <w:sz w:val="18"/>
              </w:rPr>
              <w:t>{{ClientCity}}, {{ClientState}} {{ClientZip}}</w:t>
            </w:r>
          </w:p>
        </w:tc>
        <w:tc>
          <w:tcPr>
            <w:tcW w:type="dxa" w:w="3312"/>
          </w:tcPr>
          <w:p>
            <w:r>
              <w:rPr>
                <w:sz w:val="18"/>
              </w:rPr>
              <w:t>{{ClientEmail}}</w:t>
            </w:r>
          </w:p>
        </w:tc>
        <w:tc>
          <w:tcPr>
            <w:tcW w:type="dxa" w:w="3312"/>
          </w:tcPr>
          <w:p>
            <w:r>
              <w:rPr>
                <w:sz w:val="18"/>
              </w:rPr>
            </w:r>
          </w:p>
        </w:tc>
      </w:tr>
      <w:tr>
        <w:tc>
          <w:tcPr>
            <w:tcW w:type="dxa" w:w="3312"/>
          </w:tcPr>
          <w:p>
            <w:r>
              <w:rPr>
                <w:i/>
                <w:color w:val="666666"/>
                <w:sz w:val="18"/>
              </w:rPr>
              <w:t>City / State / Zip</w:t>
            </w:r>
          </w:p>
        </w:tc>
        <w:tc>
          <w:tcPr>
            <w:tcW w:type="dxa" w:w="3312"/>
          </w:tcPr>
          <w:p>
            <w:r>
              <w:rPr>
                <w:i/>
                <w:color w:val="666666"/>
                <w:sz w:val="18"/>
              </w:rPr>
              <w:t>Email address (REQUIRED)</w:t>
            </w:r>
          </w:p>
        </w:tc>
        <w:tc>
          <w:tcPr>
            <w:tcW w:type="dxa" w:w="3312"/>
          </w:tcPr>
          <w:p>
            <w:r>
              <w:rPr>
                <w:i/>
                <w:color w:val="666666"/>
                <w:sz w:val="18"/>
              </w:rPr>
            </w:r>
          </w:p>
        </w:tc>
      </w:tr>
    </w:tbl>
    <w:p/>
    <w:p>
      <w:r>
        <w:rPr>
          <w:sz w:val="20"/>
        </w:rPr>
        <w:t>Company: {{ClientName}}        Contact #: {{ClientPhone}}</w:t>
      </w:r>
    </w:p>
    <w:p/>
    <w:p>
      <w:r>
        <w:rPr>
          <w:b/>
          <w:sz w:val="20"/>
        </w:rPr>
        <w:t>DESIGNATED BANK ACCOUNT DEBIT AUTHORIZATION (Payment Option A)</w:t>
      </w:r>
    </w:p>
    <w:tbl>
      <w:tblPr>
        <w:tblStyle w:val="TableGrid"/>
        <w:tblW w:type="auto" w:w="0"/>
        <w:tblLook w:firstColumn="1" w:firstRow="1" w:lastColumn="0" w:lastRow="0" w:noHBand="0" w:noVBand="1" w:val="04A0"/>
      </w:tblPr>
      <w:tblGrid>
        <w:gridCol w:w="4968"/>
        <w:gridCol w:w="4968"/>
      </w:tblGrid>
      <w:tr>
        <w:tc>
          <w:tcPr>
            <w:tcW w:type="dxa" w:w="4968"/>
          </w:tcPr>
          <w:p>
            <w:r>
              <w:rPr>
                <w:sz w:val="18"/>
              </w:rPr>
              <w:t>{{BankName}}</w:t>
            </w:r>
          </w:p>
        </w:tc>
        <w:tc>
          <w:tcPr>
            <w:tcW w:type="dxa" w:w="4968"/>
          </w:tcPr>
          <w:p>
            <w:r>
              <w:rPr>
                <w:sz w:val="18"/>
              </w:rPr>
              <w:t>{{BankRoutingNumber}}</w:t>
            </w:r>
          </w:p>
        </w:tc>
      </w:tr>
      <w:tr>
        <w:tc>
          <w:tcPr>
            <w:tcW w:type="dxa" w:w="4968"/>
          </w:tcPr>
          <w:p>
            <w:r>
              <w:rPr>
                <w:i/>
                <w:color w:val="666666"/>
                <w:sz w:val="18"/>
              </w:rPr>
              <w:t>Bank Name</w:t>
            </w:r>
          </w:p>
        </w:tc>
        <w:tc>
          <w:tcPr>
            <w:tcW w:type="dxa" w:w="4968"/>
          </w:tcPr>
          <w:p>
            <w:r>
              <w:rPr>
                <w:i/>
                <w:color w:val="666666"/>
                <w:sz w:val="18"/>
              </w:rPr>
              <w:t>Bank Routing Number (As it appears on the check)</w:t>
            </w:r>
          </w:p>
        </w:tc>
      </w:tr>
      <w:tr>
        <w:tc>
          <w:tcPr>
            <w:tcW w:type="dxa" w:w="4968"/>
          </w:tcPr>
          <w:p>
            <w:r>
              <w:rPr>
                <w:sz w:val="18"/>
              </w:rPr>
              <w:t>{{ClientName}}</w:t>
            </w:r>
          </w:p>
        </w:tc>
        <w:tc>
          <w:tcPr>
            <w:tcW w:type="dxa" w:w="4968"/>
          </w:tcPr>
          <w:p>
            <w:r>
              <w:rPr>
                <w:sz w:val="18"/>
              </w:rPr>
              <w:t>{{BankAccountNumber}}    {{BankIsChecking}} Checking   {{BankIsSavings}} Savings</w:t>
            </w:r>
          </w:p>
        </w:tc>
      </w:tr>
      <w:tr>
        <w:tc>
          <w:tcPr>
            <w:tcW w:type="dxa" w:w="4968"/>
          </w:tcPr>
          <w:p>
            <w:r>
              <w:rPr>
                <w:i/>
                <w:color w:val="666666"/>
                <w:sz w:val="18"/>
              </w:rPr>
              <w:t>Name as it appears on bank account</w:t>
            </w:r>
          </w:p>
        </w:tc>
        <w:tc>
          <w:tcPr>
            <w:tcW w:type="dxa" w:w="4968"/>
          </w:tcPr>
          <w:p>
            <w:r>
              <w:rPr>
                <w:i/>
                <w:color w:val="666666"/>
                <w:sz w:val="18"/>
              </w:rPr>
              <w:t>Bank Account Number</w:t>
            </w:r>
          </w:p>
        </w:tc>
      </w:tr>
    </w:tbl>
    <w:p>
      <w:pPr>
        <w:jc w:val="center"/>
      </w:pPr>
      <w:r>
        <w:rPr>
          <w:sz w:val="16"/>
        </w:rPr>
        <w:t>* Web: www.secureaccountservice.com * Phone: 1-866-845-8309 * E-mail: customerservice@securepaysas.com *</w:t>
        <w:br/>
        <w:t>* Mail payments to: Secure Account Service, PO Box 1110, Lake Havasu City, AZ 86405 *</w:t>
      </w:r>
    </w:p>
    <w:p>
      <w:r>
        <w:br w:type="page"/>
      </w:r>
    </w:p>
    <w:p>
      <w:pPr>
        <w:jc w:val="center"/>
      </w:pPr>
      <w:r>
        <w:rPr>
          <w:b/>
          <w:sz w:val="22"/>
        </w:rPr>
        <w:t>DEBIT SCHEDULE AUTHORIZATION</w:t>
      </w:r>
    </w:p>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sz w:val="18"/>
              </w:rPr>
              <w:t>{{#DebitSchedule}}Deposit Amount</w:t>
            </w:r>
          </w:p>
        </w:tc>
        <w:tc>
          <w:tcPr>
            <w:tcW w:type="dxa" w:w="1656"/>
          </w:tcPr>
          <w:p>
            <w:r>
              <w:rPr>
                <w:sz w:val="18"/>
              </w:rPr>
              <w:t>{{DepositAmount}}</w:t>
            </w:r>
          </w:p>
        </w:tc>
        <w:tc>
          <w:tcPr>
            <w:tcW w:type="dxa" w:w="1656"/>
          </w:tcPr>
          <w:p>
            <w:r>
              <w:rPr>
                <w:sz w:val="18"/>
              </w:rPr>
              <w:t>Start Date</w:t>
            </w:r>
          </w:p>
        </w:tc>
        <w:tc>
          <w:tcPr>
            <w:tcW w:type="dxa" w:w="1656"/>
          </w:tcPr>
          <w:p>
            <w:r>
              <w:rPr>
                <w:sz w:val="18"/>
              </w:rPr>
              <w:t>{{StartDate}}</w:t>
            </w:r>
          </w:p>
        </w:tc>
        <w:tc>
          <w:tcPr>
            <w:tcW w:type="dxa" w:w="1656"/>
          </w:tcPr>
          <w:p>
            <w:r>
              <w:rPr>
                <w:sz w:val="18"/>
              </w:rPr>
              <w:t>Number of Payments</w:t>
            </w:r>
          </w:p>
        </w:tc>
        <w:tc>
          <w:tcPr>
            <w:tcW w:type="dxa" w:w="1656"/>
          </w:tcPr>
          <w:p>
            <w:r>
              <w:rPr>
                <w:sz w:val="18"/>
              </w:rPr>
              <w:t>{{NumberOfPayments}}{{/DebitSchedule}}</w:t>
            </w:r>
          </w:p>
        </w:tc>
      </w:tr>
    </w:tbl>
    <w:p/>
    <w:p>
      <w:r>
        <w:rPr>
          <w:sz w:val="20"/>
        </w:rPr>
        <w:t>I authorize Secure Account Service (SAS) to debit and disburse funds according to the contacts provided by me or on my behalf or as otherwise provided by this agreement. This authorization is to remain in force until the schedule of debits is completed or until SAS has received written notification of a change or termination, allowing SAS no fewer than five (5) business days to act. SAS may discontinue this service at its discretion after providing written notice thirty (30) days in advance. SAS shall not be required to provide advance notice when advance notice is impossible. SAS shall not be liable to any person for not completing a transaction as a result of any limit on my designated bank account or if a financial institution fails to honor any debit from such account. I understand it is my responsibility to notify SAS immediately if a scheduled transaction does not occur. I authorize SAS to recover funds in the event of an error or in the event that a prior debit is returned for any reason.</w:t>
      </w:r>
    </w:p>
    <w:p>
      <w:r>
        <w:rPr>
          <w:sz w:val="20"/>
        </w:rPr>
        <w:t>I have read and understand the information contained in this document and I affirm that the above information given by me is accurate and true to the best of my knowledge.</w:t>
      </w:r>
    </w:p>
    <w:p/>
    <w:p>
      <w:r>
        <w:rPr>
          <w:b/>
          <w:sz w:val="22"/>
        </w:rPr>
        <w:t>SIGNATURE   \s1\                                                    DATED   \d1\</w:t>
      </w:r>
    </w:p>
    <w:p>
      <w:pPr>
        <w:jc w:val="center"/>
      </w:pPr>
      <w:r>
        <w:rPr>
          <w:sz w:val="16"/>
        </w:rPr>
        <w:t>* Web: www.secureaccountservice.com * Phone: 1-866-845-8309 * E-mail: customerservice@securepaysas.com *</w:t>
        <w:br/>
        <w:t>* Mail payments to: Secure Account Service, PO Box 1110, Lake Havasu City, AZ 86405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