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0D1B2A"/>
          <w:sz w:val="28"/>
          <w:szCs w:val="28"/>
        </w:rPr>
        <w:t xml:space="preserve">MEASURED POUR STANDARDS POLICY</w:t>
      </w:r>
      <w:r>
        <w:rPr>
          <w:rFonts w:ascii="Arial" w:cs="Arial" w:eastAsia="Arial" w:hAnsi="Arial"/>
          <w:b/>
          <w:bCs/>
          <w:color w:val="4888A8"/>
          <w:sz w:val="22"/>
          <w:szCs w:val="22"/>
        </w:rPr>
        <w:t xml:space="preserve">  —  DOC 33</w:t>
      </w:r>
    </w:p>
    <w:p>
      <w:pPr>
        <w:spacing w:after="0" w:before="0"/>
      </w:pPr>
      <w:r>
        <w:t xml:space="preserve"/>
      </w:r>
    </w:p>
    <w:p>
      <w:pPr>
        <w:spacing w:after="60" w:before="60"/>
      </w:pPr>
      <w:r>
        <w:rPr>
          <w:rFonts w:ascii="Arial" w:cs="Arial" w:eastAsia="Arial" w:hAnsi="Arial"/>
          <w:b/>
          <w:bCs/>
          <w:color w:val="1A1A1A"/>
          <w:sz w:val="20"/>
          <w:szCs w:val="20"/>
        </w:rPr>
        <w:t xml:space="preserve">Bar / Restaurant Name: </w:t>
      </w:r>
      <w:r>
        <w:rPr>
          <w:rFonts w:ascii="Arial" w:cs="Arial" w:eastAsia="Arial" w:hAnsi="Arial"/>
          <w:color w:val="AAAAAA"/>
          <w:sz w:val="20"/>
          <w:szCs w:val="20"/>
        </w:rPr>
        <w:t xml:space="preserve">____________________________</w:t>
      </w:r>
    </w:p>
    <w:p>
      <w:pPr>
        <w:spacing w:after="60" w:before="60"/>
      </w:pPr>
      <w:r>
        <w:rPr>
          <w:rFonts w:ascii="Arial" w:cs="Arial" w:eastAsia="Arial" w:hAnsi="Arial"/>
          <w:b/>
          <w:bCs/>
          <w:color w:val="1A1A1A"/>
          <w:sz w:val="20"/>
          <w:szCs w:val="20"/>
        </w:rPr>
        <w:t xml:space="preserve">Effective Date: </w:t>
      </w:r>
      <w:r>
        <w:rPr>
          <w:rFonts w:ascii="Arial" w:cs="Arial" w:eastAsia="Arial" w:hAnsi="Arial"/>
          <w:color w:val="AAAAAA"/>
          <w:sz w:val="20"/>
          <w:szCs w:val="20"/>
        </w:rPr>
        <w:t xml:space="preserve">____________________________</w:t>
      </w:r>
    </w:p>
    <w:p>
      <w:pPr>
        <w:spacing w:after="60" w:before="60"/>
      </w:pPr>
      <w:r>
        <w:rPr>
          <w:rFonts w:ascii="Arial" w:cs="Arial" w:eastAsia="Arial" w:hAnsi="Arial"/>
          <w:b/>
          <w:bCs/>
          <w:color w:val="1A1A1A"/>
          <w:sz w:val="20"/>
          <w:szCs w:val="20"/>
        </w:rPr>
        <w:t xml:space="preserve">Policy Owner (Manager / Owner): </w:t>
      </w:r>
      <w:r>
        <w:rPr>
          <w:rFonts w:ascii="Arial" w:cs="Arial" w:eastAsia="Arial" w:hAnsi="Arial"/>
          <w:color w:val="AAAAAA"/>
          <w:sz w:val="20"/>
          <w:szCs w:val="20"/>
        </w:rPr>
        <w:t xml:space="preserve">____________________________</w:t>
      </w:r>
    </w:p>
    <w:p>
      <w:pPr>
        <w:spacing w:after="0" w:before="0"/>
      </w:pPr>
      <w:r>
        <w:t xml:space="preserve"/>
      </w:r>
    </w:p>
    <w:p>
      <w:pPr>
        <w:pBdr>
          <w:bottom w:val="single" w:color="4888A8" w:sz="6" w:space="2"/>
        </w:pBdr>
        <w:spacing w:after="100" w:before="280"/>
      </w:pPr>
      <w:r>
        <w:rPr>
          <w:rFonts w:ascii="Arial" w:cs="Arial" w:eastAsia="Arial" w:hAnsi="Arial"/>
          <w:b/>
          <w:bCs/>
          <w:color w:val="0D1B2A"/>
          <w:sz w:val="22"/>
          <w:szCs w:val="22"/>
        </w:rPr>
        <w:t xml:space="preserve">1. POLICY STATEMENT</w:t>
      </w:r>
    </w:p>
    <w:p>
      <w:pPr>
        <w:spacing w:after="60" w:before="60"/>
      </w:pPr>
      <w:r>
        <w:rPr>
          <w:rFonts w:ascii="Arial" w:cs="Arial" w:eastAsia="Arial" w:hAnsi="Arial"/>
          <w:color w:val="1A1A1A"/>
          <w:sz w:val="20"/>
          <w:szCs w:val="20"/>
        </w:rPr>
        <w:t xml:space="preserve">This policy establishes the standard pour measurements for all alcoholic beverages served at this establishment. Every employee who pours, serves, or handles alcohol is required to read, understand, and comply with this policy. Adherence to these standards is not optional. They exist to protect profitability, ensure consistency for guests, and reduce the risk of over-service liability.</w:t>
      </w:r>
    </w:p>
    <w:p>
      <w:pPr>
        <w:spacing w:after="60" w:before="60"/>
      </w:pPr>
      <w:r>
        <w:rPr>
          <w:rFonts w:ascii="Arial" w:cs="Arial" w:eastAsia="Arial" w:hAnsi="Arial"/>
          <w:color w:val="1A1A1A"/>
          <w:sz w:val="20"/>
          <w:szCs w:val="20"/>
        </w:rPr>
        <w:t xml:space="preserve">Measured pours are the single most impactful cost control action a bar operation can implement. A difference of 0.25 oz per pour, across 200 pours per night, equals 50 oz of unaccounted product every shift. At an average spirit cost of $1.50 per oz, that is $75 in uncontrolled cost per night, $525 per week, and over $27,000 per year.</w:t>
      </w:r>
    </w:p>
    <w:p>
      <w:pPr>
        <w:pBdr>
          <w:bottom w:val="single" w:color="4888A8" w:sz="6" w:space="2"/>
        </w:pBdr>
        <w:spacing w:after="100" w:before="280"/>
      </w:pPr>
      <w:r>
        <w:rPr>
          <w:rFonts w:ascii="Arial" w:cs="Arial" w:eastAsia="Arial" w:hAnsi="Arial"/>
          <w:b/>
          <w:bCs/>
          <w:color w:val="0D1B2A"/>
          <w:sz w:val="22"/>
          <w:szCs w:val="22"/>
        </w:rPr>
        <w:t xml:space="preserve">2. POUR STANDARDS BY SPIRIT CATEGORY</w:t>
      </w:r>
    </w:p>
    <w:p>
      <w:pPr>
        <w:spacing w:after="60" w:before="60"/>
      </w:pPr>
      <w:r>
        <w:rPr>
          <w:rFonts w:ascii="Arial" w:cs="Arial" w:eastAsia="Arial" w:hAnsi="Arial"/>
          <w:color w:val="1A1A1A"/>
          <w:sz w:val="20"/>
          <w:szCs w:val="20"/>
        </w:rPr>
        <w:t xml:space="preserve">The following measurements are the house standard. These are not approximations. They are the exact volume to be served for each drink type. Any deviation requires manager approval before service.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560"/>
      </w:tblGrid>
      <w:tr>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Spirit Category</w:t>
            </w:r>
          </w:p>
        </w:tc>
        <w:tc>
          <w:tcPr>
            <w:tcW w:type="dxa" w:w="1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Standard Pour</w:t>
            </w:r>
          </w:p>
        </w:tc>
        <w:tc>
          <w:tcPr>
            <w:tcW w:type="dxa" w:w="1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Rocks / Neat</w:t>
            </w:r>
          </w:p>
        </w:tc>
        <w:tc>
          <w:tcPr>
            <w:tcW w:type="dxa" w:w="1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Double</w:t>
            </w:r>
          </w:p>
        </w:tc>
        <w:tc>
          <w:tcPr>
            <w:tcW w:type="dxa" w:w="15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Tool Required</w:t>
            </w:r>
          </w:p>
        </w:tc>
      </w:tr>
      <w:tr>
        <w:tc>
          <w:tcPr>
            <w:tcW w:type="dxa" w:w="24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bCs/>
                <w:color w:val="0D1B2A"/>
                <w:sz w:val="16"/>
                <w:szCs w:val="16"/>
              </w:rPr>
              <w:t xml:space="preserve">Well Spirits</w:t>
            </w:r>
          </w:p>
        </w:tc>
        <w:tc>
          <w:tcPr>
            <w:tcW w:type="dxa" w:w="18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1.25 oz</w:t>
            </w:r>
          </w:p>
        </w:tc>
        <w:tc>
          <w:tcPr>
            <w:tcW w:type="dxa" w:w="18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1.5 oz</w:t>
            </w:r>
          </w:p>
        </w:tc>
        <w:tc>
          <w:tcPr>
            <w:tcW w:type="dxa" w:w="18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2.5 oz</w:t>
            </w:r>
          </w:p>
        </w:tc>
        <w:tc>
          <w:tcPr>
            <w:tcW w:type="dxa" w:w="156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Jigger</w:t>
            </w:r>
          </w:p>
        </w:tc>
      </w:tr>
      <w:tr>
        <w:tc>
          <w:tcPr>
            <w:tcW w:type="dxa" w:w="24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bCs/>
                <w:color w:val="0D1B2A"/>
                <w:sz w:val="16"/>
                <w:szCs w:val="16"/>
              </w:rPr>
              <w:t xml:space="preserve">Call Spirits</w:t>
            </w:r>
          </w:p>
        </w:tc>
        <w:tc>
          <w:tcPr>
            <w:tcW w:type="dxa" w:w="18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1.25 oz</w:t>
            </w:r>
          </w:p>
        </w:tc>
        <w:tc>
          <w:tcPr>
            <w:tcW w:type="dxa" w:w="18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1.5 oz</w:t>
            </w:r>
          </w:p>
        </w:tc>
        <w:tc>
          <w:tcPr>
            <w:tcW w:type="dxa" w:w="18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2.5 oz</w:t>
            </w:r>
          </w:p>
        </w:tc>
        <w:tc>
          <w:tcPr>
            <w:tcW w:type="dxa" w:w="156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Jigger</w:t>
            </w:r>
          </w:p>
        </w:tc>
      </w:tr>
      <w:tr>
        <w:tc>
          <w:tcPr>
            <w:tcW w:type="dxa" w:w="24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bCs/>
                <w:color w:val="0D1B2A"/>
                <w:sz w:val="16"/>
                <w:szCs w:val="16"/>
              </w:rPr>
              <w:t xml:space="preserve">Premium Spirits</w:t>
            </w:r>
          </w:p>
        </w:tc>
        <w:tc>
          <w:tcPr>
            <w:tcW w:type="dxa" w:w="18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1.5 oz</w:t>
            </w:r>
          </w:p>
        </w:tc>
        <w:tc>
          <w:tcPr>
            <w:tcW w:type="dxa" w:w="18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1.5 oz</w:t>
            </w:r>
          </w:p>
        </w:tc>
        <w:tc>
          <w:tcPr>
            <w:tcW w:type="dxa" w:w="18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3.0 oz</w:t>
            </w:r>
          </w:p>
        </w:tc>
        <w:tc>
          <w:tcPr>
            <w:tcW w:type="dxa" w:w="156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Jigger</w:t>
            </w:r>
          </w:p>
        </w:tc>
      </w:tr>
      <w:tr>
        <w:tc>
          <w:tcPr>
            <w:tcW w:type="dxa" w:w="24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bCs/>
                <w:color w:val="0D1B2A"/>
                <w:sz w:val="16"/>
                <w:szCs w:val="16"/>
              </w:rPr>
              <w:t xml:space="preserve">Wine (Glass)</w:t>
            </w:r>
          </w:p>
        </w:tc>
        <w:tc>
          <w:tcPr>
            <w:tcW w:type="dxa" w:w="18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5 oz</w:t>
            </w:r>
          </w:p>
        </w:tc>
        <w:tc>
          <w:tcPr>
            <w:tcW w:type="dxa" w:w="18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N/A</w:t>
            </w:r>
          </w:p>
        </w:tc>
        <w:tc>
          <w:tcPr>
            <w:tcW w:type="dxa" w:w="18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N/A</w:t>
            </w:r>
          </w:p>
        </w:tc>
        <w:tc>
          <w:tcPr>
            <w:tcW w:type="dxa" w:w="156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Measured pour</w:t>
            </w:r>
          </w:p>
        </w:tc>
      </w:tr>
      <w:tr>
        <w:tc>
          <w:tcPr>
            <w:tcW w:type="dxa" w:w="24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bCs/>
                <w:color w:val="0D1B2A"/>
                <w:sz w:val="16"/>
                <w:szCs w:val="16"/>
              </w:rPr>
              <w:t xml:space="preserve">Draft Beer</w:t>
            </w:r>
          </w:p>
        </w:tc>
        <w:tc>
          <w:tcPr>
            <w:tcW w:type="dxa" w:w="18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16 oz pint</w:t>
            </w:r>
          </w:p>
        </w:tc>
        <w:tc>
          <w:tcPr>
            <w:tcW w:type="dxa" w:w="18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N/A</w:t>
            </w:r>
          </w:p>
        </w:tc>
        <w:tc>
          <w:tcPr>
            <w:tcW w:type="dxa" w:w="18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N/A</w:t>
            </w:r>
          </w:p>
        </w:tc>
        <w:tc>
          <w:tcPr>
            <w:tcW w:type="dxa" w:w="156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Calibrated glass</w:t>
            </w:r>
          </w:p>
        </w:tc>
      </w:tr>
      <w:tr>
        <w:tc>
          <w:tcPr>
            <w:tcW w:type="dxa" w:w="24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bCs/>
                <w:color w:val="0D1B2A"/>
                <w:sz w:val="16"/>
                <w:szCs w:val="16"/>
              </w:rPr>
              <w:t xml:space="preserve">Bottled Beer</w:t>
            </w:r>
          </w:p>
        </w:tc>
        <w:tc>
          <w:tcPr>
            <w:tcW w:type="dxa" w:w="18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Full bottle</w:t>
            </w:r>
          </w:p>
        </w:tc>
        <w:tc>
          <w:tcPr>
            <w:tcW w:type="dxa" w:w="18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N/A</w:t>
            </w:r>
          </w:p>
        </w:tc>
        <w:tc>
          <w:tcPr>
            <w:tcW w:type="dxa" w:w="18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N/A</w:t>
            </w:r>
          </w:p>
        </w:tc>
        <w:tc>
          <w:tcPr>
            <w:tcW w:type="dxa" w:w="156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N/A</w:t>
            </w:r>
          </w:p>
        </w:tc>
      </w:tr>
    </w:tbl>
    <w:p>
      <w:pPr>
        <w:spacing w:after="0" w:before="0"/>
      </w:pPr>
      <w:r>
        <w:t xml:space="preserve"/>
      </w:r>
    </w:p>
    <w:p>
      <w:pPr>
        <w:spacing w:after="60" w:before="60"/>
      </w:pPr>
      <w:r>
        <w:rPr>
          <w:rFonts w:ascii="Arial" w:cs="Arial" w:eastAsia="Arial" w:hAnsi="Arial"/>
          <w:color w:val="1A1A1A"/>
          <w:sz w:val="20"/>
          <w:szCs w:val="20"/>
        </w:rPr>
        <w:t xml:space="preserve">All measurements listed are in fluid ounces. Bartenders must demonstrate accurate free-pour only after completing a formal calibration test and receiving written management approval. Until that approval is on file, jiggers are required for every pour.</w:t>
      </w:r>
    </w:p>
    <w:p>
      <w:pPr>
        <w:pBdr>
          <w:bottom w:val="single" w:color="4888A8" w:sz="6" w:space="2"/>
        </w:pBdr>
        <w:spacing w:after="100" w:before="280"/>
      </w:pPr>
      <w:r>
        <w:rPr>
          <w:rFonts w:ascii="Arial" w:cs="Arial" w:eastAsia="Arial" w:hAnsi="Arial"/>
          <w:b/>
          <w:bCs/>
          <w:color w:val="0D1B2A"/>
          <w:sz w:val="22"/>
          <w:szCs w:val="22"/>
        </w:rPr>
        <w:t xml:space="preserve">3. EQUIPMENT REQUIREMENTS</w:t>
      </w:r>
    </w:p>
    <w:p>
      <w:pPr>
        <w:spacing w:after="60" w:before="160"/>
      </w:pPr>
      <w:r>
        <w:rPr>
          <w:rFonts w:ascii="Arial" w:cs="Arial" w:eastAsia="Arial" w:hAnsi="Arial"/>
          <w:b/>
          <w:bCs/>
          <w:color w:val="4888A8"/>
          <w:sz w:val="20"/>
          <w:szCs w:val="20"/>
        </w:rPr>
        <w:t xml:space="preserve">Required Equipment at Every Bar Station</w:t>
      </w:r>
    </w:p>
    <w:p>
      <w:pPr>
        <w:pStyle w:val="ListParagraph"/>
        <w:numPr>
          <w:ilvl w:val="0"/>
          <w:numId w:val="2"/>
        </w:numPr>
        <w:spacing w:after="40" w:before="40"/>
      </w:pPr>
      <w:r>
        <w:rPr>
          <w:rFonts w:ascii="Arial" w:cs="Arial" w:eastAsia="Arial" w:hAnsi="Arial"/>
          <w:b w:val="false"/>
          <w:bCs w:val="false"/>
          <w:color w:val="1A1A1A"/>
          <w:sz w:val="20"/>
          <w:szCs w:val="20"/>
        </w:rPr>
        <w:t xml:space="preserve">One 1 oz / 2 oz dual-sided jigger per bartender, in service at all times</w:t>
      </w:r>
    </w:p>
    <w:p>
      <w:pPr>
        <w:pStyle w:val="ListParagraph"/>
        <w:numPr>
          <w:ilvl w:val="0"/>
          <w:numId w:val="2"/>
        </w:numPr>
        <w:spacing w:after="40" w:before="40"/>
      </w:pPr>
      <w:r>
        <w:rPr>
          <w:rFonts w:ascii="Arial" w:cs="Arial" w:eastAsia="Arial" w:hAnsi="Arial"/>
          <w:b w:val="false"/>
          <w:bCs w:val="false"/>
          <w:color w:val="1A1A1A"/>
          <w:sz w:val="20"/>
          <w:szCs w:val="20"/>
        </w:rPr>
        <w:t xml:space="preserve">One 0.5 oz / 0.75 oz jigger for liqueur and modifier pours where applicable</w:t>
      </w:r>
    </w:p>
    <w:p>
      <w:pPr>
        <w:pStyle w:val="ListParagraph"/>
        <w:numPr>
          <w:ilvl w:val="0"/>
          <w:numId w:val="2"/>
        </w:numPr>
        <w:spacing w:after="40" w:before="40"/>
      </w:pPr>
      <w:r>
        <w:rPr>
          <w:rFonts w:ascii="Arial" w:cs="Arial" w:eastAsia="Arial" w:hAnsi="Arial"/>
          <w:b w:val="false"/>
          <w:bCs w:val="false"/>
          <w:color w:val="1A1A1A"/>
          <w:sz w:val="20"/>
          <w:szCs w:val="20"/>
        </w:rPr>
        <w:t xml:space="preserve">Calibrated wine pour spouts or measured wine glasses for wine-by-the-glass service</w:t>
      </w:r>
    </w:p>
    <w:p>
      <w:pPr>
        <w:pStyle w:val="ListParagraph"/>
        <w:numPr>
          <w:ilvl w:val="0"/>
          <w:numId w:val="2"/>
        </w:numPr>
        <w:spacing w:after="40" w:before="40"/>
      </w:pPr>
      <w:r>
        <w:rPr>
          <w:rFonts w:ascii="Arial" w:cs="Arial" w:eastAsia="Arial" w:hAnsi="Arial"/>
          <w:b w:val="false"/>
          <w:bCs w:val="false"/>
          <w:color w:val="1A1A1A"/>
          <w:sz w:val="20"/>
          <w:szCs w:val="20"/>
        </w:rPr>
        <w:t xml:space="preserve">Calibrated beer glasses for draft service -- no freehand estimation</w:t>
      </w:r>
    </w:p>
    <w:p>
      <w:pPr>
        <w:spacing w:after="60" w:before="160"/>
      </w:pPr>
      <w:r>
        <w:rPr>
          <w:rFonts w:ascii="Arial" w:cs="Arial" w:eastAsia="Arial" w:hAnsi="Arial"/>
          <w:b/>
          <w:bCs/>
          <w:color w:val="4888A8"/>
          <w:sz w:val="20"/>
          <w:szCs w:val="20"/>
        </w:rPr>
        <w:t xml:space="preserve">Equipment Inspection</w:t>
      </w:r>
    </w:p>
    <w:p>
      <w:pPr>
        <w:pStyle w:val="ListParagraph"/>
        <w:numPr>
          <w:ilvl w:val="0"/>
          <w:numId w:val="2"/>
        </w:numPr>
        <w:spacing w:after="40" w:before="40"/>
      </w:pPr>
      <w:r>
        <w:rPr>
          <w:rFonts w:ascii="Arial" w:cs="Arial" w:eastAsia="Arial" w:hAnsi="Arial"/>
          <w:b w:val="false"/>
          <w:bCs w:val="false"/>
          <w:color w:val="1A1A1A"/>
          <w:sz w:val="20"/>
          <w:szCs w:val="20"/>
        </w:rPr>
        <w:t xml:space="preserve">Bar manager confirms jiggers are present at every station before service begins</w:t>
      </w:r>
    </w:p>
    <w:p>
      <w:pPr>
        <w:pStyle w:val="ListParagraph"/>
        <w:numPr>
          <w:ilvl w:val="0"/>
          <w:numId w:val="2"/>
        </w:numPr>
        <w:spacing w:after="40" w:before="40"/>
      </w:pPr>
      <w:r>
        <w:rPr>
          <w:rFonts w:ascii="Arial" w:cs="Arial" w:eastAsia="Arial" w:hAnsi="Arial"/>
          <w:b w:val="false"/>
          <w:bCs w:val="false"/>
          <w:color w:val="1A1A1A"/>
          <w:sz w:val="20"/>
          <w:szCs w:val="20"/>
        </w:rPr>
        <w:t xml:space="preserve">Jiggers must be clean, undeformed, and free of build-up that could alter pour volume</w:t>
      </w:r>
    </w:p>
    <w:p>
      <w:pPr>
        <w:pStyle w:val="ListParagraph"/>
        <w:numPr>
          <w:ilvl w:val="0"/>
          <w:numId w:val="2"/>
        </w:numPr>
        <w:spacing w:after="40" w:before="40"/>
      </w:pPr>
      <w:r>
        <w:rPr>
          <w:rFonts w:ascii="Arial" w:cs="Arial" w:eastAsia="Arial" w:hAnsi="Arial"/>
          <w:b w:val="false"/>
          <w:bCs w:val="false"/>
          <w:color w:val="1A1A1A"/>
          <w:sz w:val="20"/>
          <w:szCs w:val="20"/>
        </w:rPr>
        <w:t xml:space="preserve">Worn or damaged jiggers must be replaced immediately -- no exceptions</w:t>
      </w:r>
    </w:p>
    <w:p>
      <w:pPr>
        <w:pBdr>
          <w:bottom w:val="single" w:color="4888A8" w:sz="6" w:space="2"/>
        </w:pBdr>
        <w:spacing w:after="100" w:before="280"/>
      </w:pPr>
      <w:r>
        <w:rPr>
          <w:rFonts w:ascii="Arial" w:cs="Arial" w:eastAsia="Arial" w:hAnsi="Arial"/>
          <w:b/>
          <w:bCs/>
          <w:color w:val="0D1B2A"/>
          <w:sz w:val="22"/>
          <w:szCs w:val="22"/>
        </w:rPr>
        <w:t xml:space="preserve">4. FREE-POUR PROHIBITION</w:t>
      </w:r>
    </w:p>
    <w:p>
      <w:pPr>
        <w:spacing w:after="60" w:before="60"/>
      </w:pPr>
      <w:r>
        <w:rPr>
          <w:rFonts w:ascii="Arial" w:cs="Arial" w:eastAsia="Arial" w:hAnsi="Arial"/>
          <w:color w:val="1A1A1A"/>
          <w:sz w:val="20"/>
          <w:szCs w:val="20"/>
        </w:rPr>
        <w:t xml:space="preserve">Free-pouring -- pouring spirits directly from the bottle without a measuring tool -- is prohibited during service unless a bartender has passed the calibration test described below and has written management approval on file.</w:t>
      </w:r>
    </w:p>
    <w:p>
      <w:pPr>
        <w:spacing w:after="60" w:before="160"/>
      </w:pPr>
      <w:r>
        <w:rPr>
          <w:rFonts w:ascii="Arial" w:cs="Arial" w:eastAsia="Arial" w:hAnsi="Arial"/>
          <w:b/>
          <w:bCs/>
          <w:color w:val="4888A8"/>
          <w:sz w:val="20"/>
          <w:szCs w:val="20"/>
        </w:rPr>
        <w:t xml:space="preserve">Calibration Test Requirements</w:t>
      </w:r>
    </w:p>
    <w:p>
      <w:pPr>
        <w:pStyle w:val="ListParagraph"/>
        <w:numPr>
          <w:ilvl w:val="0"/>
          <w:numId w:val="2"/>
        </w:numPr>
        <w:spacing w:after="40" w:before="40"/>
      </w:pPr>
      <w:r>
        <w:rPr>
          <w:rFonts w:ascii="Arial" w:cs="Arial" w:eastAsia="Arial" w:hAnsi="Arial"/>
          <w:b w:val="false"/>
          <w:bCs w:val="false"/>
          <w:color w:val="1A1A1A"/>
          <w:sz w:val="20"/>
          <w:szCs w:val="20"/>
        </w:rPr>
        <w:t xml:space="preserve">Bartender must pour a designated volume of water into a jigger for verification, five times in sequence</w:t>
      </w:r>
    </w:p>
    <w:p>
      <w:pPr>
        <w:pStyle w:val="ListParagraph"/>
        <w:numPr>
          <w:ilvl w:val="0"/>
          <w:numId w:val="2"/>
        </w:numPr>
        <w:spacing w:after="40" w:before="40"/>
      </w:pPr>
      <w:r>
        <w:rPr>
          <w:rFonts w:ascii="Arial" w:cs="Arial" w:eastAsia="Arial" w:hAnsi="Arial"/>
          <w:b w:val="false"/>
          <w:bCs w:val="false"/>
          <w:color w:val="1A1A1A"/>
          <w:sz w:val="20"/>
          <w:szCs w:val="20"/>
        </w:rPr>
        <w:t xml:space="preserve">All five pours must land within 0.1 oz of the target volume</w:t>
      </w:r>
    </w:p>
    <w:p>
      <w:pPr>
        <w:pStyle w:val="ListParagraph"/>
        <w:numPr>
          <w:ilvl w:val="0"/>
          <w:numId w:val="2"/>
        </w:numPr>
        <w:spacing w:after="40" w:before="40"/>
      </w:pPr>
      <w:r>
        <w:rPr>
          <w:rFonts w:ascii="Arial" w:cs="Arial" w:eastAsia="Arial" w:hAnsi="Arial"/>
          <w:b w:val="false"/>
          <w:bCs w:val="false"/>
          <w:color w:val="1A1A1A"/>
          <w:sz w:val="20"/>
          <w:szCs w:val="20"/>
        </w:rPr>
        <w:t xml:space="preserve">Test must be conducted by the bar manager and results recorded in writing</w:t>
      </w:r>
    </w:p>
    <w:p>
      <w:pPr>
        <w:pStyle w:val="ListParagraph"/>
        <w:numPr>
          <w:ilvl w:val="0"/>
          <w:numId w:val="2"/>
        </w:numPr>
        <w:spacing w:after="40" w:before="40"/>
      </w:pPr>
      <w:r>
        <w:rPr>
          <w:rFonts w:ascii="Arial" w:cs="Arial" w:eastAsia="Arial" w:hAnsi="Arial"/>
          <w:b w:val="false"/>
          <w:bCs w:val="false"/>
          <w:color w:val="1A1A1A"/>
          <w:sz w:val="20"/>
          <w:szCs w:val="20"/>
        </w:rPr>
        <w:t xml:space="preserve">Approved free-pourers are retested every 90 days to maintain approval status</w:t>
      </w:r>
    </w:p>
    <w:p>
      <w:pPr>
        <w:pStyle w:val="ListParagraph"/>
        <w:numPr>
          <w:ilvl w:val="0"/>
          <w:numId w:val="2"/>
        </w:numPr>
        <w:spacing w:after="40" w:before="40"/>
      </w:pPr>
      <w:r>
        <w:rPr>
          <w:rFonts w:ascii="Arial" w:cs="Arial" w:eastAsia="Arial" w:hAnsi="Arial"/>
          <w:b w:val="false"/>
          <w:bCs w:val="false"/>
          <w:color w:val="1A1A1A"/>
          <w:sz w:val="20"/>
          <w:szCs w:val="20"/>
        </w:rPr>
        <w:t xml:space="preserve">Approval is revoked immediately upon a failed retest or a documented over-pour complaint</w:t>
      </w:r>
    </w:p>
    <w:p>
      <w:pPr>
        <w:spacing w:after="0" w:before="0"/>
      </w:pPr>
      <w:r>
        <w:t xml:space="preserve"/>
      </w:r>
    </w:p>
    <w:p>
      <w:pPr>
        <w:spacing w:after="60" w:before="60"/>
      </w:pPr>
      <w:r>
        <w:rPr>
          <w:rFonts w:ascii="Arial" w:cs="Arial" w:eastAsia="Arial" w:hAnsi="Arial"/>
          <w:color w:val="1A1A1A"/>
          <w:sz w:val="20"/>
          <w:szCs w:val="20"/>
        </w:rPr>
        <w:t xml:space="preserve">A bartender who pours without a jigger and without documented free-pour approval is in violation of this policy regardless of their claimed accuracy.</w:t>
      </w:r>
    </w:p>
    <w:p>
      <w:pPr>
        <w:pBdr>
          <w:bottom w:val="single" w:color="4888A8" w:sz="6" w:space="2"/>
        </w:pBdr>
        <w:spacing w:after="100" w:before="280"/>
      </w:pPr>
      <w:r>
        <w:rPr>
          <w:rFonts w:ascii="Arial" w:cs="Arial" w:eastAsia="Arial" w:hAnsi="Arial"/>
          <w:b/>
          <w:bCs/>
          <w:color w:val="0D1B2A"/>
          <w:sz w:val="22"/>
          <w:szCs w:val="22"/>
        </w:rPr>
        <w:t xml:space="preserve">5. ENFORCEMENT AND CONSEQUENCES</w:t>
      </w:r>
    </w:p>
    <w:p>
      <w:pPr>
        <w:spacing w:after="60" w:before="60"/>
      </w:pPr>
      <w:r>
        <w:rPr>
          <w:rFonts w:ascii="Arial" w:cs="Arial" w:eastAsia="Arial" w:hAnsi="Arial"/>
          <w:color w:val="1A1A1A"/>
          <w:sz w:val="20"/>
          <w:szCs w:val="20"/>
        </w:rPr>
        <w:t xml:space="preserve">This policy is enforced by bar managers, shift managers, and ownership. Enforcement actions follow the progressive discipline framework below. All violations are documented using the Employee Corrective Action Form.</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Offense</w:t>
            </w:r>
          </w:p>
        </w:tc>
        <w:tc>
          <w:tcPr>
            <w:tcW w:type="dxa" w:w="35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Action</w:t>
            </w:r>
          </w:p>
        </w:tc>
        <w:tc>
          <w:tcPr>
            <w:tcW w:type="dxa" w:w="3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6"/>
                <w:szCs w:val="16"/>
              </w:rPr>
              <w:t xml:space="preserve">Documentation</w:t>
            </w:r>
          </w:p>
        </w:tc>
      </w:tr>
      <w:tr>
        <w:tc>
          <w:tcPr>
            <w:tcW w:type="dxa" w:w="22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First violation</w:t>
            </w:r>
          </w:p>
        </w:tc>
        <w:tc>
          <w:tcPr>
            <w:tcW w:type="dxa" w:w="356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Verbal warning. Manager demonstrates correct procedure.</w:t>
            </w:r>
          </w:p>
        </w:tc>
        <w:tc>
          <w:tcPr>
            <w:tcW w:type="dxa" w:w="36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Manager logs in shift notes.</w:t>
            </w:r>
          </w:p>
        </w:tc>
      </w:tr>
      <w:tr>
        <w:tc>
          <w:tcPr>
            <w:tcW w:type="dxa" w:w="22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Second violation</w:t>
            </w:r>
          </w:p>
        </w:tc>
        <w:tc>
          <w:tcPr>
            <w:tcW w:type="dxa" w:w="356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Written warning using Corrective Action Form. Employee re-reads and re-signs this policy.</w:t>
            </w:r>
          </w:p>
        </w:tc>
        <w:tc>
          <w:tcPr>
            <w:tcW w:type="dxa" w:w="36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Signed form filed in employee record.</w:t>
            </w:r>
          </w:p>
        </w:tc>
      </w:tr>
      <w:tr>
        <w:tc>
          <w:tcPr>
            <w:tcW w:type="dxa" w:w="22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Third violation</w:t>
            </w:r>
          </w:p>
        </w:tc>
        <w:tc>
          <w:tcPr>
            <w:tcW w:type="dxa" w:w="356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Final written warning. Loss of free-pour approval if applicable. May include suspension.</w:t>
            </w:r>
          </w:p>
        </w:tc>
        <w:tc>
          <w:tcPr>
            <w:tcW w:type="dxa" w:w="3600"/>
            <w:tcBorders>
              <w:top w:val="single" w:color="CBD5DF" w:sz="1"/>
              <w:left w:val="single" w:color="CBD5DF" w:sz="1"/>
              <w:bottom w:val="single" w:color="CBD5DF" w:sz="1"/>
              <w:right w:val="single" w:color="CBD5DF" w:sz="1"/>
            </w:tcBorders>
            <w:shd w:fill="EEF3F7" w:val="clear"/>
            <w:tcMar>
              <w:top w:type="dxa" w:w="80"/>
              <w:left w:type="dxa" w:w="120"/>
              <w:bottom w:type="dxa" w:w="80"/>
              <w:right w:type="dxa" w:w="120"/>
            </w:tcMar>
          </w:tcPr>
          <w:p>
            <w:r>
              <w:rPr>
                <w:rFonts w:ascii="Arial" w:cs="Arial" w:eastAsia="Arial" w:hAnsi="Arial"/>
                <w:b w:val="false"/>
                <w:bCs w:val="false"/>
                <w:color w:val="1A1A1A"/>
                <w:sz w:val="16"/>
                <w:szCs w:val="16"/>
              </w:rPr>
              <w:t xml:space="preserve">Signed form filed. Ownership notified.</w:t>
            </w:r>
          </w:p>
        </w:tc>
      </w:tr>
      <w:tr>
        <w:tc>
          <w:tcPr>
            <w:tcW w:type="dxa" w:w="22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Continued violation</w:t>
            </w:r>
          </w:p>
        </w:tc>
        <w:tc>
          <w:tcPr>
            <w:tcW w:type="dxa" w:w="356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Termination for cause.</w:t>
            </w:r>
          </w:p>
        </w:tc>
        <w:tc>
          <w:tcPr>
            <w:tcW w:type="dxa" w:w="3600"/>
            <w:tcBorders>
              <w:top w:val="single" w:color="CBD5DF" w:sz="1"/>
              <w:left w:val="single" w:color="CBD5DF" w:sz="1"/>
              <w:bottom w:val="single" w:color="CBD5DF" w:sz="1"/>
              <w:right w:val="single" w:color="CBD5DF" w:sz="1"/>
            </w:tcBorders>
            <w:shd w:fill="FFFFFF" w:val="clear"/>
            <w:tcMar>
              <w:top w:type="dxa" w:w="80"/>
              <w:left w:type="dxa" w:w="120"/>
              <w:bottom w:type="dxa" w:w="80"/>
              <w:right w:type="dxa" w:w="120"/>
            </w:tcMar>
          </w:tcPr>
          <w:p>
            <w:r>
              <w:rPr>
                <w:rFonts w:ascii="Arial" w:cs="Arial" w:eastAsia="Arial" w:hAnsi="Arial"/>
                <w:b w:val="false"/>
                <w:bCs w:val="false"/>
                <w:color w:val="1A1A1A"/>
                <w:sz w:val="16"/>
                <w:szCs w:val="16"/>
              </w:rPr>
              <w:t xml:space="preserve">Full documentation filed.</w:t>
            </w:r>
          </w:p>
        </w:tc>
      </w:tr>
    </w:tbl>
    <w:p>
      <w:pPr>
        <w:pBdr>
          <w:bottom w:val="single" w:color="4888A8" w:sz="6" w:space="2"/>
        </w:pBdr>
        <w:spacing w:after="100" w:before="280"/>
      </w:pPr>
      <w:r>
        <w:rPr>
          <w:rFonts w:ascii="Arial" w:cs="Arial" w:eastAsia="Arial" w:hAnsi="Arial"/>
          <w:b/>
          <w:bCs/>
          <w:color w:val="0D1B2A"/>
          <w:sz w:val="22"/>
          <w:szCs w:val="22"/>
        </w:rPr>
        <w:t xml:space="preserve">6. EMPLOYEE ACKNOWLEDGMENT</w:t>
      </w:r>
    </w:p>
    <w:p>
      <w:pPr>
        <w:shd w:fill="EEF3F7" w:val="clear"/>
        <w:spacing w:after="160" w:before="100"/>
      </w:pPr>
      <w:r>
        <w:rPr>
          <w:rFonts w:ascii="Arial" w:cs="Arial" w:eastAsia="Arial" w:hAnsi="Arial"/>
          <w:color w:val="1A1A1A"/>
          <w:sz w:val="20"/>
          <w:szCs w:val="20"/>
        </w:rPr>
        <w:t xml:space="preserve">I have read and understood the Measured Pour Standards Policy. I agree to comply with all requirements stated above and understand that violations may result in disciplinary action up to and including termination.</w:t>
      </w:r>
    </w:p>
    <w:p>
      <w:pPr>
        <w:spacing w:after="60" w:before="120"/>
      </w:pPr>
      <w:r>
        <w:rPr>
          <w:rFonts w:ascii="Arial" w:cs="Arial" w:eastAsia="Arial" w:hAnsi="Arial"/>
          <w:b/>
          <w:bCs/>
          <w:color w:val="1A1A1A"/>
          <w:sz w:val="20"/>
          <w:szCs w:val="20"/>
        </w:rPr>
        <w:t xml:space="preserve">Employee Name (Print): </w:t>
      </w:r>
      <w:r>
        <w:rPr>
          <w:rFonts w:ascii="Arial" w:cs="Arial" w:eastAsia="Arial" w:hAnsi="Arial"/>
          <w:color w:val="AAAAAA"/>
          <w:sz w:val="20"/>
          <w:szCs w:val="20"/>
        </w:rPr>
        <w:t xml:space="preserve">____________________________________________________________</w:t>
      </w:r>
    </w:p>
    <w:p>
      <w:pPr>
        <w:spacing w:after="60" w:before="120"/>
      </w:pPr>
      <w:r>
        <w:rPr>
          <w:rFonts w:ascii="Arial" w:cs="Arial" w:eastAsia="Arial" w:hAnsi="Arial"/>
          <w:b/>
          <w:bCs/>
          <w:color w:val="1A1A1A"/>
          <w:sz w:val="20"/>
          <w:szCs w:val="20"/>
        </w:rPr>
        <w:t xml:space="preserve">Employee Signature: </w:t>
      </w:r>
      <w:r>
        <w:rPr>
          <w:rFonts w:ascii="Arial" w:cs="Arial" w:eastAsia="Arial" w:hAnsi="Arial"/>
          <w:color w:val="AAAAAA"/>
          <w:sz w:val="20"/>
          <w:szCs w:val="20"/>
        </w:rPr>
        <w:t xml:space="preserve">____________________________________________________________</w:t>
      </w:r>
    </w:p>
    <w:p>
      <w:pPr>
        <w:spacing w:after="60" w:before="120"/>
      </w:pPr>
      <w:r>
        <w:rPr>
          <w:rFonts w:ascii="Arial" w:cs="Arial" w:eastAsia="Arial" w:hAnsi="Arial"/>
          <w:b/>
          <w:bCs/>
          <w:color w:val="1A1A1A"/>
          <w:sz w:val="20"/>
          <w:szCs w:val="20"/>
        </w:rPr>
        <w:t xml:space="preserve">Date: </w:t>
      </w:r>
      <w:r>
        <w:rPr>
          <w:rFonts w:ascii="Arial" w:cs="Arial" w:eastAsia="Arial" w:hAnsi="Arial"/>
          <w:color w:val="AAAAAA"/>
          <w:sz w:val="20"/>
          <w:szCs w:val="20"/>
        </w:rPr>
        <w:t xml:space="preserve">________________________________________</w:t>
      </w:r>
    </w:p>
    <w:p>
      <w:pPr>
        <w:spacing w:after="0" w:before="0"/>
      </w:pPr>
      <w:r>
        <w:t xml:space="preserve"/>
      </w:r>
    </w:p>
    <w:p>
      <w:pPr>
        <w:spacing w:after="60" w:before="120"/>
      </w:pPr>
      <w:r>
        <w:rPr>
          <w:rFonts w:ascii="Arial" w:cs="Arial" w:eastAsia="Arial" w:hAnsi="Arial"/>
          <w:b/>
          <w:bCs/>
          <w:color w:val="1A1A1A"/>
          <w:sz w:val="20"/>
          <w:szCs w:val="20"/>
        </w:rPr>
        <w:t xml:space="preserve">Manager Name (Print): </w:t>
      </w:r>
      <w:r>
        <w:rPr>
          <w:rFonts w:ascii="Arial" w:cs="Arial" w:eastAsia="Arial" w:hAnsi="Arial"/>
          <w:color w:val="AAAAAA"/>
          <w:sz w:val="20"/>
          <w:szCs w:val="20"/>
        </w:rPr>
        <w:t xml:space="preserve">____________________________________________________________</w:t>
      </w:r>
    </w:p>
    <w:p>
      <w:pPr>
        <w:spacing w:after="60" w:before="120"/>
      </w:pPr>
      <w:r>
        <w:rPr>
          <w:rFonts w:ascii="Arial" w:cs="Arial" w:eastAsia="Arial" w:hAnsi="Arial"/>
          <w:b/>
          <w:bCs/>
          <w:color w:val="1A1A1A"/>
          <w:sz w:val="20"/>
          <w:szCs w:val="20"/>
        </w:rPr>
        <w:t xml:space="preserve">Manager Signature: </w:t>
      </w:r>
      <w:r>
        <w:rPr>
          <w:rFonts w:ascii="Arial" w:cs="Arial" w:eastAsia="Arial" w:hAnsi="Arial"/>
          <w:color w:val="AAAAAA"/>
          <w:sz w:val="20"/>
          <w:szCs w:val="20"/>
        </w:rPr>
        <w:t xml:space="preserve">____________________________________________________________</w:t>
      </w:r>
    </w:p>
    <w:p>
      <w:pPr>
        <w:spacing w:after="60" w:before="120"/>
      </w:pPr>
      <w:r>
        <w:rPr>
          <w:rFonts w:ascii="Arial" w:cs="Arial" w:eastAsia="Arial" w:hAnsi="Arial"/>
          <w:b/>
          <w:bCs/>
          <w:color w:val="1A1A1A"/>
          <w:sz w:val="20"/>
          <w:szCs w:val="20"/>
        </w:rPr>
        <w:t xml:space="preserve">Date: </w:t>
      </w:r>
      <w:r>
        <w:rPr>
          <w:rFonts w:ascii="Arial" w:cs="Arial" w:eastAsia="Arial" w:hAnsi="Arial"/>
          <w:color w:val="AAAAAA"/>
          <w:sz w:val="20"/>
          <w:szCs w:val="20"/>
        </w:rPr>
        <w:t xml:space="preserve">________________________________________</w:t>
      </w:r>
    </w:p>
    <w:p>
      <w:pPr>
        <w:spacing w:after="0" w:before="0"/>
      </w:pPr>
      <w:r>
        <w:t xml:space="preserve"/>
      </w:r>
    </w:p>
    <w:p>
      <w:pPr>
        <w:spacing w:after="60" w:before="60"/>
      </w:pPr>
      <w:r>
        <w:rPr>
          <w:rFonts w:ascii="Arial" w:cs="Arial" w:eastAsia="Arial" w:hAnsi="Arial"/>
          <w:color w:val="1A1A1A"/>
          <w:sz w:val="20"/>
          <w:szCs w:val="20"/>
        </w:rPr>
        <w:t xml:space="preserve">A signed copy of this acknowledgment must be filed in the employee's personnel record before the employee works their first bar shift.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spacing w:after="0" w:before="0"/>
    </w:pPr>
    <w:r>
      <w:rPr>
        <w:rFonts w:ascii="Arial" w:cs="Arial" w:eastAsia="Arial" w:hAnsi="Arial"/>
        <w:color w:val="888888"/>
        <w:sz w:val="18"/>
        <w:szCs w:val="18"/>
      </w:rPr>
      <w:t xml:space="preserve">Bar Cop  |  Profit Fix</w:t>
    </w:r>
    <w:r>
      <w:rPr>
        <w:rFonts w:ascii="Arial" w:cs="Arial" w:eastAsia="Arial" w:hAnsi="Arial"/>
        <w:sz w:val="18"/>
        <w:szCs w:val="18"/>
      </w:rPr>
      <w:t xml:space="preserv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2026-05-05T13:31:30.187Z</dcterms:created>
  <dcterms:modified xsi:type="dcterms:W3CDTF">2026-05-05T13:31:30.187Z</dcterms:modified>
</cp:coreProperties>
</file>

<file path=docProps/custom.xml><?xml version="1.0" encoding="utf-8"?>
<Properties xmlns="http://schemas.openxmlformats.org/officeDocument/2006/custom-properties" xmlns:vt="http://schemas.openxmlformats.org/officeDocument/2006/docPropsVTypes"/>
</file>