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4FC8C" w14:textId="77777777" w:rsidR="00BD2AF7" w:rsidRDefault="00000000">
      <w:pPr>
        <w:jc w:val="center"/>
      </w:pPr>
      <w:r>
        <w:rPr>
          <w:b/>
          <w:sz w:val="40"/>
        </w:rPr>
        <w:t>Spotify Customer Support AI Agent</w:t>
      </w:r>
    </w:p>
    <w:p w14:paraId="1DD942A8" w14:textId="5B4610AD" w:rsidR="00BD2AF7" w:rsidRDefault="00000000">
      <w:pPr>
        <w:jc w:val="center"/>
      </w:pPr>
      <w:r>
        <w:rPr>
          <w:i/>
          <w:sz w:val="20"/>
        </w:rPr>
        <w:t>Hiver SDE</w:t>
      </w:r>
      <w:r w:rsidR="00762FCD">
        <w:rPr>
          <w:i/>
          <w:sz w:val="20"/>
        </w:rPr>
        <w:t xml:space="preserve"> Intern</w:t>
      </w:r>
      <w:r>
        <w:rPr>
          <w:i/>
          <w:sz w:val="20"/>
        </w:rPr>
        <w:t xml:space="preserve"> Take-Home Project — Final Report</w:t>
      </w:r>
    </w:p>
    <w:p w14:paraId="32DED88F" w14:textId="77777777" w:rsidR="00BD2AF7" w:rsidRDefault="00000000">
      <w:r>
        <w:t>An explainable customer-support AI pipeline combining TF-IDF retrieval, a hosted LLM, deterministic escalation rules, and evaluation of intent classification and reply quality.</w:t>
      </w:r>
    </w:p>
    <w:p w14:paraId="2A26C243" w14:textId="77777777" w:rsidR="00BD2AF7" w:rsidRDefault="00000000">
      <w:pPr>
        <w:pStyle w:val="Heading1"/>
      </w:pPr>
      <w:r>
        <w:t>1. Objective and Approach</w:t>
      </w:r>
    </w:p>
    <w:p w14:paraId="2BF755CA" w14:textId="77777777" w:rsidR="00BD2AF7" w:rsidRDefault="00000000">
      <w:r>
        <w:t xml:space="preserve">The project builds a small, reproducible customer-support agent for Spotify. Given a customer message and optional conversation context, the system retrieves three similar historical Spotify support cases, sends the retrieved evidence and current context to one </w:t>
      </w:r>
      <w:proofErr w:type="spellStart"/>
      <w:r>
        <w:t>Groq</w:t>
      </w:r>
      <w:proofErr w:type="spellEnd"/>
      <w:r>
        <w:t>-hosted LLM call, and returns an intent and support reply. A deterministic policy then decides whether the request should be automatically handled or escalated.</w:t>
      </w:r>
    </w:p>
    <w:p w14:paraId="4AA2EADE" w14:textId="77777777" w:rsidR="00BD2AF7" w:rsidRDefault="00000000">
      <w:r>
        <w:t>The project does not train a new neural model. It uses a pretrained LLM and a simple retrieval layer so that the request path remains inspectable and reproducible.</w:t>
      </w:r>
    </w:p>
    <w:p w14:paraId="6719213C" w14:textId="77777777" w:rsidR="00BD2AF7" w:rsidRDefault="00000000">
      <w:pPr>
        <w:pStyle w:val="Heading1"/>
      </w:pPr>
      <w:r>
        <w:t>2. Data and Annotation</w:t>
      </w:r>
    </w:p>
    <w:p w14:paraId="4A1CEBCA" w14:textId="77777777" w:rsidR="00BD2AF7" w:rsidRDefault="00000000">
      <w:r>
        <w:t>The source data is the Kaggle Customer Support on Twitter dataset (twcs.csv). Spotify support interactions were extracted and converted into customer-to-Spotify support cases with bounded conversation context. The resulting retrieval corpus is results/spotify_cases.csv.</w:t>
      </w:r>
    </w:p>
    <w:p w14:paraId="528E7AED" w14:textId="77777777" w:rsidR="00BD2AF7" w:rsidRDefault="00000000">
      <w:r>
        <w:t>A 200-example Spotify sample was manually labelled using nine intent categories: PLAYBACK_OR_APP_ISSUE, SUBSCRIPTION_OR_PAYMENT, ACCOUNT, FEATURE_OR_UI, CONTENT_OR_CATALOG, PROMOTION_OR_EVENT, PRIVACY_OR_DATA, SUPPORT_CHANNEL_OR_LANGUAGE, and OTHER.</w:t>
      </w:r>
    </w:p>
    <w:p w14:paraId="3F0EA812" w14:textId="77777777" w:rsidR="00BD2AF7" w:rsidRDefault="00000000">
      <w:r>
        <w:t xml:space="preserve">The 200 labelled cases were split into 150 development cases and 50 held-out test cases using </w:t>
      </w:r>
      <w:proofErr w:type="spellStart"/>
      <w:r>
        <w:t>StratifiedGroupKFold</w:t>
      </w:r>
      <w:proofErr w:type="spellEnd"/>
      <w:r>
        <w:t xml:space="preserve"> with </w:t>
      </w:r>
      <w:proofErr w:type="spellStart"/>
      <w:r>
        <w:t>random_state</w:t>
      </w:r>
      <w:proofErr w:type="spellEnd"/>
      <w:r>
        <w:t xml:space="preserve">=42 and </w:t>
      </w:r>
      <w:proofErr w:type="spellStart"/>
      <w:r>
        <w:t>customer_id</w:t>
      </w:r>
      <w:proofErr w:type="spellEnd"/>
      <w:r>
        <w:t xml:space="preserve"> as the grouping variable. This prevents the same customer from appearing in both development and test sets.</w:t>
      </w:r>
    </w:p>
    <w:p w14:paraId="30528971" w14:textId="77777777" w:rsidR="00BD2AF7" w:rsidRDefault="00000000">
      <w:pPr>
        <w:pStyle w:val="Heading1"/>
      </w:pPr>
      <w:r>
        <w:t>3. System Architecture</w:t>
      </w:r>
    </w:p>
    <w:p w14:paraId="696F71CA" w14:textId="77777777" w:rsidR="00BD2AF7" w:rsidRDefault="00000000">
      <w:r>
        <w:t xml:space="preserve">Request flow: Customer message + context -&gt; TF-IDF retrieval -&gt; top 3 historical cases -&gt; one </w:t>
      </w:r>
      <w:proofErr w:type="spellStart"/>
      <w:r>
        <w:t>Groq</w:t>
      </w:r>
      <w:proofErr w:type="spellEnd"/>
      <w:r>
        <w:t xml:space="preserve"> LLM call -&gt; intent + reply -&gt; deterministic escalation.</w:t>
      </w:r>
    </w:p>
    <w:p w14:paraId="736D45FF" w14:textId="77777777" w:rsidR="00BD2AF7" w:rsidRDefault="00000000">
      <w:r>
        <w:t xml:space="preserve">Retrieval uses TF-IDF with unigram and bigram features and cosine similarity. The final LLM is </w:t>
      </w:r>
      <w:proofErr w:type="spellStart"/>
      <w:r>
        <w:t>openai</w:t>
      </w:r>
      <w:proofErr w:type="spellEnd"/>
      <w:r>
        <w:t xml:space="preserve">/gpt-oss-20b through </w:t>
      </w:r>
      <w:proofErr w:type="spellStart"/>
      <w:r>
        <w:t>Groq</w:t>
      </w:r>
      <w:proofErr w:type="spellEnd"/>
      <w:r>
        <w:t>. Structured JSON output is used for the intent and reply.</w:t>
      </w:r>
    </w:p>
    <w:p w14:paraId="42232BE4" w14:textId="77777777" w:rsidR="00BD2AF7" w:rsidRDefault="00000000">
      <w:r>
        <w:t>Escalation is deterministic. PRIVACY_OR_DATA is escalated; ACCOUNT requests involving configured account-specific actions such as password/email changes, refunds, chargebacks, subscription cancellation, or account recovery are escalated; OTHER is escalated; other clear intents are AUTO_HANDLE.</w:t>
      </w:r>
    </w:p>
    <w:p w14:paraId="5A57A52A" w14:textId="77777777" w:rsidR="00BD2AF7" w:rsidRDefault="00000000">
      <w:pPr>
        <w:pStyle w:val="Heading1"/>
      </w:pPr>
      <w:r>
        <w:t>4. Evaluation Methodology</w:t>
      </w:r>
    </w:p>
    <w:p w14:paraId="6F682634" w14:textId="77777777" w:rsidR="00BD2AF7" w:rsidRDefault="00000000">
      <w:r>
        <w:t>The held-out 50-case test set was frozen before final reporting and was not used for prompt or policy tuning. The final agent evaluation is checkpointed in results/agent_test_outputs.csv.</w:t>
      </w:r>
    </w:p>
    <w:tbl>
      <w:tblPr>
        <w:tblStyle w:val="TableGrid"/>
        <w:tblW w:w="0" w:type="auto"/>
        <w:jc w:val="center"/>
        <w:tblLook w:val="04A0" w:firstRow="1" w:lastRow="0" w:firstColumn="1" w:lastColumn="0" w:noHBand="0" w:noVBand="1"/>
      </w:tblPr>
      <w:tblGrid>
        <w:gridCol w:w="5184"/>
        <w:gridCol w:w="5184"/>
      </w:tblGrid>
      <w:tr w:rsidR="00BD2AF7" w14:paraId="7C2E6D8D" w14:textId="77777777">
        <w:trPr>
          <w:jc w:val="center"/>
        </w:trPr>
        <w:tc>
          <w:tcPr>
            <w:tcW w:w="5184" w:type="dxa"/>
          </w:tcPr>
          <w:p w14:paraId="098E92F4" w14:textId="77777777" w:rsidR="00BD2AF7" w:rsidRDefault="00000000">
            <w:r>
              <w:t>System</w:t>
            </w:r>
          </w:p>
        </w:tc>
        <w:tc>
          <w:tcPr>
            <w:tcW w:w="5184" w:type="dxa"/>
          </w:tcPr>
          <w:p w14:paraId="3DA84A12" w14:textId="77777777" w:rsidR="00BD2AF7" w:rsidRDefault="00000000">
            <w:r>
              <w:t>Intent Accuracy</w:t>
            </w:r>
          </w:p>
        </w:tc>
      </w:tr>
      <w:tr w:rsidR="00BD2AF7" w14:paraId="6AFF9922" w14:textId="77777777">
        <w:trPr>
          <w:jc w:val="center"/>
        </w:trPr>
        <w:tc>
          <w:tcPr>
            <w:tcW w:w="5184" w:type="dxa"/>
          </w:tcPr>
          <w:p w14:paraId="1C2DB256" w14:textId="77777777" w:rsidR="00BD2AF7" w:rsidRDefault="00000000">
            <w:r>
              <w:t>Majority baseline</w:t>
            </w:r>
          </w:p>
        </w:tc>
        <w:tc>
          <w:tcPr>
            <w:tcW w:w="5184" w:type="dxa"/>
          </w:tcPr>
          <w:p w14:paraId="201F4750" w14:textId="77777777" w:rsidR="00BD2AF7" w:rsidRDefault="00000000">
            <w:r>
              <w:t>37.0%</w:t>
            </w:r>
          </w:p>
        </w:tc>
      </w:tr>
      <w:tr w:rsidR="00BD2AF7" w14:paraId="672F1542" w14:textId="77777777">
        <w:trPr>
          <w:jc w:val="center"/>
        </w:trPr>
        <w:tc>
          <w:tcPr>
            <w:tcW w:w="5184" w:type="dxa"/>
          </w:tcPr>
          <w:p w14:paraId="6AA29BB8" w14:textId="77777777" w:rsidR="00BD2AF7" w:rsidRDefault="00000000">
            <w:r>
              <w:t>TF-IDF + Logistic Regression</w:t>
            </w:r>
          </w:p>
        </w:tc>
        <w:tc>
          <w:tcPr>
            <w:tcW w:w="5184" w:type="dxa"/>
          </w:tcPr>
          <w:p w14:paraId="7B3CD11C" w14:textId="77777777" w:rsidR="00BD2AF7" w:rsidRDefault="00000000">
            <w:r>
              <w:t>34.5%</w:t>
            </w:r>
          </w:p>
        </w:tc>
      </w:tr>
      <w:tr w:rsidR="00BD2AF7" w14:paraId="497D8D1A" w14:textId="77777777">
        <w:trPr>
          <w:jc w:val="center"/>
        </w:trPr>
        <w:tc>
          <w:tcPr>
            <w:tcW w:w="5184" w:type="dxa"/>
          </w:tcPr>
          <w:p w14:paraId="144F6902" w14:textId="77777777" w:rsidR="00BD2AF7" w:rsidRDefault="00000000">
            <w:r>
              <w:t>Retrieval + LLM agent</w:t>
            </w:r>
          </w:p>
        </w:tc>
        <w:tc>
          <w:tcPr>
            <w:tcW w:w="5184" w:type="dxa"/>
          </w:tcPr>
          <w:p w14:paraId="457C3802" w14:textId="77777777" w:rsidR="00BD2AF7" w:rsidRDefault="00000000">
            <w:r>
              <w:t>44.0%</w:t>
            </w:r>
          </w:p>
        </w:tc>
      </w:tr>
    </w:tbl>
    <w:p w14:paraId="709AF941" w14:textId="77777777" w:rsidR="00BD2AF7" w:rsidRDefault="00000000">
      <w:r>
        <w:t>The final agent correctly classified 22 of 50 held-out cases (44.0%). This is the official final intent-classification result.</w:t>
      </w:r>
    </w:p>
    <w:p w14:paraId="27DDF9DD" w14:textId="00DBFD2D" w:rsidR="00160D0C" w:rsidRDefault="00160D0C">
      <w:r w:rsidRPr="00472234">
        <w:t>The 44.0% result should not be interpreted as a general estimate of real-world customer-support accuracy. It is the observed accuracy on this specific 50-case held-out sample. The test set is intentionally small, and several intent categories have very few examples. The result is therefore most useful as an internal benchmark for this pipeline and for comparison with the included baselines.</w:t>
      </w:r>
    </w:p>
    <w:p w14:paraId="04593884" w14:textId="77777777" w:rsidR="00BD2AF7" w:rsidRDefault="00000000">
      <w:pPr>
        <w:pStyle w:val="Heading1"/>
      </w:pPr>
      <w:r>
        <w:lastRenderedPageBreak/>
        <w:t>5. Failure Analysis</w:t>
      </w:r>
    </w:p>
    <w:p w14:paraId="6DD9C3D7" w14:textId="77777777" w:rsidR="00BD2AF7" w:rsidRDefault="00000000">
      <w:pPr>
        <w:pStyle w:val="ListBullet"/>
      </w:pPr>
      <w:r>
        <w:t>Short contextual messages are difficult to classify without sufficient context.</w:t>
      </w:r>
    </w:p>
    <w:p w14:paraId="563B0F88" w14:textId="77777777" w:rsidR="00BD2AF7" w:rsidRDefault="00000000">
      <w:pPr>
        <w:pStyle w:val="ListBullet"/>
      </w:pPr>
      <w:r>
        <w:t>FEATURE_OR_UI and CONTENT_OR_CATALOG are frequently confused.</w:t>
      </w:r>
    </w:p>
    <w:p w14:paraId="32CFBB22" w14:textId="77777777" w:rsidR="00BD2AF7" w:rsidRDefault="00000000">
      <w:pPr>
        <w:pStyle w:val="ListBullet"/>
      </w:pPr>
      <w:r>
        <w:t>Technical-looking messages can be over-predicted as PLAYBACK_OR_APP_ISSUE.</w:t>
      </w:r>
    </w:p>
    <w:p w14:paraId="664AE250" w14:textId="77777777" w:rsidR="00BD2AF7" w:rsidRDefault="00000000">
      <w:pPr>
        <w:pStyle w:val="ListBullet"/>
      </w:pPr>
      <w:r>
        <w:t>Sparse messages can produce weak retrieval evidence.</w:t>
      </w:r>
    </w:p>
    <w:p w14:paraId="61D90488" w14:textId="77777777" w:rsidR="00BD2AF7" w:rsidRDefault="00000000">
      <w:pPr>
        <w:pStyle w:val="ListBullet"/>
      </w:pPr>
      <w:r>
        <w:t>Retrieved examples can sometimes influence the response too strongly when they are only approximately similar.</w:t>
      </w:r>
    </w:p>
    <w:p w14:paraId="5D8FBDB4" w14:textId="77777777" w:rsidR="00BD2AF7" w:rsidRDefault="00000000">
      <w:r>
        <w:t>The analysis was performed after the final test run. The findings are documented as limitations rather than used to repeatedly tune the held-out test set.</w:t>
      </w:r>
    </w:p>
    <w:p w14:paraId="6E6D9C99" w14:textId="77777777" w:rsidR="00BD2AF7" w:rsidRDefault="00000000">
      <w:pPr>
        <w:pStyle w:val="Heading1"/>
      </w:pPr>
      <w:r>
        <w:t>6. Reply Quality Evaluation</w:t>
      </w:r>
    </w:p>
    <w:p w14:paraId="7E1D7D3C" w14:textId="77777777" w:rsidR="00BD2AF7" w:rsidRDefault="00000000">
      <w:r>
        <w:t>Reply quality was evaluated separately from intent classification. A fixed sample of 40 cases was selected from the existing 50 generated test outputs. Human ratings used five criteria—correctness, relevance, grounding, actionability, and communication—plus an overall score, each on a 1–5 scale.</w:t>
      </w:r>
    </w:p>
    <w:tbl>
      <w:tblPr>
        <w:tblStyle w:val="TableGrid"/>
        <w:tblW w:w="0" w:type="auto"/>
        <w:jc w:val="center"/>
        <w:tblLook w:val="04A0" w:firstRow="1" w:lastRow="0" w:firstColumn="1" w:lastColumn="0" w:noHBand="0" w:noVBand="1"/>
      </w:tblPr>
      <w:tblGrid>
        <w:gridCol w:w="5184"/>
        <w:gridCol w:w="5184"/>
      </w:tblGrid>
      <w:tr w:rsidR="00BD2AF7" w14:paraId="0D8D9AED" w14:textId="77777777">
        <w:trPr>
          <w:jc w:val="center"/>
        </w:trPr>
        <w:tc>
          <w:tcPr>
            <w:tcW w:w="5184" w:type="dxa"/>
          </w:tcPr>
          <w:p w14:paraId="4C5A571D" w14:textId="77777777" w:rsidR="00BD2AF7" w:rsidRDefault="00000000">
            <w:r>
              <w:t>Measure</w:t>
            </w:r>
          </w:p>
        </w:tc>
        <w:tc>
          <w:tcPr>
            <w:tcW w:w="5184" w:type="dxa"/>
          </w:tcPr>
          <w:p w14:paraId="40CCD82A" w14:textId="77777777" w:rsidR="00BD2AF7" w:rsidRDefault="00000000">
            <w:r>
              <w:t>Result</w:t>
            </w:r>
          </w:p>
        </w:tc>
      </w:tr>
      <w:tr w:rsidR="00BD2AF7" w14:paraId="04A2BF36" w14:textId="77777777">
        <w:trPr>
          <w:jc w:val="center"/>
        </w:trPr>
        <w:tc>
          <w:tcPr>
            <w:tcW w:w="5184" w:type="dxa"/>
          </w:tcPr>
          <w:p w14:paraId="0C7D3D82" w14:textId="77777777" w:rsidR="00BD2AF7" w:rsidRDefault="00000000">
            <w:r>
              <w:t>Human overall mean</w:t>
            </w:r>
          </w:p>
        </w:tc>
        <w:tc>
          <w:tcPr>
            <w:tcW w:w="5184" w:type="dxa"/>
          </w:tcPr>
          <w:p w14:paraId="3BAD5BAD" w14:textId="77777777" w:rsidR="00BD2AF7" w:rsidRDefault="00000000">
            <w:r>
              <w:t>4.175 / 5</w:t>
            </w:r>
          </w:p>
        </w:tc>
      </w:tr>
      <w:tr w:rsidR="00BD2AF7" w14:paraId="26EEEB49" w14:textId="77777777">
        <w:trPr>
          <w:jc w:val="center"/>
        </w:trPr>
        <w:tc>
          <w:tcPr>
            <w:tcW w:w="5184" w:type="dxa"/>
          </w:tcPr>
          <w:p w14:paraId="728E3968" w14:textId="77777777" w:rsidR="00BD2AF7" w:rsidRDefault="00000000">
            <w:r>
              <w:t>LLM judge overall mean</w:t>
            </w:r>
          </w:p>
        </w:tc>
        <w:tc>
          <w:tcPr>
            <w:tcW w:w="5184" w:type="dxa"/>
          </w:tcPr>
          <w:p w14:paraId="553D2CDD" w14:textId="77777777" w:rsidR="00BD2AF7" w:rsidRDefault="00000000">
            <w:r>
              <w:t>4.150 / 5</w:t>
            </w:r>
          </w:p>
        </w:tc>
      </w:tr>
      <w:tr w:rsidR="00BD2AF7" w14:paraId="78C4084C" w14:textId="77777777">
        <w:trPr>
          <w:jc w:val="center"/>
        </w:trPr>
        <w:tc>
          <w:tcPr>
            <w:tcW w:w="5184" w:type="dxa"/>
          </w:tcPr>
          <w:p w14:paraId="36C5108F" w14:textId="77777777" w:rsidR="00BD2AF7" w:rsidRDefault="00000000">
            <w:r>
              <w:t>Overall exact human-vs-LLM agreement</w:t>
            </w:r>
          </w:p>
        </w:tc>
        <w:tc>
          <w:tcPr>
            <w:tcW w:w="5184" w:type="dxa"/>
          </w:tcPr>
          <w:p w14:paraId="41190AE7" w14:textId="77777777" w:rsidR="00BD2AF7" w:rsidRDefault="00000000">
            <w:r>
              <w:t>42.5%</w:t>
            </w:r>
          </w:p>
        </w:tc>
      </w:tr>
      <w:tr w:rsidR="00BD2AF7" w14:paraId="38952D04" w14:textId="77777777">
        <w:trPr>
          <w:jc w:val="center"/>
        </w:trPr>
        <w:tc>
          <w:tcPr>
            <w:tcW w:w="5184" w:type="dxa"/>
          </w:tcPr>
          <w:p w14:paraId="137F3749" w14:textId="77777777" w:rsidR="00BD2AF7" w:rsidRDefault="00000000">
            <w:r>
              <w:t>Overall agreement within one rating point</w:t>
            </w:r>
          </w:p>
        </w:tc>
        <w:tc>
          <w:tcPr>
            <w:tcW w:w="5184" w:type="dxa"/>
          </w:tcPr>
          <w:p w14:paraId="12789FBF" w14:textId="77777777" w:rsidR="00BD2AF7" w:rsidRDefault="00000000">
            <w:r>
              <w:t>72.5%</w:t>
            </w:r>
          </w:p>
        </w:tc>
      </w:tr>
    </w:tbl>
    <w:p w14:paraId="4DECC8FF" w14:textId="77777777" w:rsidR="00BD2AF7" w:rsidRDefault="00000000">
      <w:r>
        <w:t>The human and LLM judge had similar average overall scores, but only modest case-level agreement. Communication showed substantially stronger agreement than the other criteria. Therefore, the LLM judge is treated as a secondary evaluation signal rather than as a validated replacement for human judgement.</w:t>
      </w:r>
    </w:p>
    <w:p w14:paraId="0FE7B09D" w14:textId="77777777" w:rsidR="00BD2AF7" w:rsidRDefault="00000000">
      <w:pPr>
        <w:pStyle w:val="Heading1"/>
      </w:pPr>
      <w:r>
        <w:t>7. Escalation Evaluation</w:t>
      </w:r>
    </w:p>
    <w:p w14:paraId="466F1F92" w14:textId="77777777" w:rsidR="00BD2AF7" w:rsidRDefault="00000000">
      <w:r>
        <w:t>The deterministic policy was applied to all 50 final agent outputs. The resulting action distribution was 39 AUTO_HANDLE and 11 ESCALATE. This is reported only as an action distribution because the human annotation set did not contain human-labelled escalation outcomes; an escalation accuracy metric was therefore not claimed.</w:t>
      </w:r>
    </w:p>
    <w:p w14:paraId="301B0825" w14:textId="77777777" w:rsidR="00BD2AF7" w:rsidRDefault="00000000">
      <w:pPr>
        <w:pStyle w:val="Heading1"/>
      </w:pPr>
      <w:r>
        <w:t>8. Reproducibility and Engineering Choices</w:t>
      </w:r>
    </w:p>
    <w:p w14:paraId="181440B2" w14:textId="77777777" w:rsidR="00BD2AF7" w:rsidRDefault="00000000">
      <w:r>
        <w:t>The repository includes pinned dependencies, a .</w:t>
      </w:r>
      <w:proofErr w:type="spellStart"/>
      <w:r>
        <w:t>gitignore</w:t>
      </w:r>
      <w:proofErr w:type="spellEnd"/>
      <w:r>
        <w:t>, a README with installation and evaluation instructions, checkpoint-safe evaluation code, stored evaluation artifacts, and a small interactive CLI demo. The final request path uses one LLM call per request and avoids a vector database, fine-tuning, a complex agent framework, and repeated tuning against the held-out test set.</w:t>
      </w:r>
    </w:p>
    <w:p w14:paraId="5C02AA8E" w14:textId="77777777" w:rsidR="00BD2AF7" w:rsidRDefault="00000000">
      <w:r>
        <w:t>The evaluation runner saves every completed case immediately and skips previously completed case IDs. This reduces accidental duplicate API calls and makes interrupted evaluations resumable.</w:t>
      </w:r>
    </w:p>
    <w:p w14:paraId="6D55E4C5" w14:textId="77777777" w:rsidR="00BD2AF7" w:rsidRDefault="00000000">
      <w:pPr>
        <w:pStyle w:val="Heading1"/>
      </w:pPr>
      <w:r>
        <w:t>9. Limitations and Conclusion</w:t>
      </w:r>
    </w:p>
    <w:p w14:paraId="13365BF2" w14:textId="77777777" w:rsidR="00BD2AF7" w:rsidRDefault="00000000">
      <w:r>
        <w:t>The labelled dataset is small, several intents overlap semantically, and TF-IDF is lexical, so retrieval may miss semantically similar messages expressed with different wording. Short or context-dependent messages remain difficult. The 44.0% intent accuracy is specific to the 50-case held-out test set and should not be interpreted as a general population accuracy estimate.</w:t>
      </w:r>
    </w:p>
    <w:p w14:paraId="2C0113C9" w14:textId="21E2CE56" w:rsidR="00160D0C" w:rsidRDefault="00160D0C">
      <w:r w:rsidRPr="00160D0C">
        <w:t>If another week were available, the next improvements would focus on the observed failure modes rather than increasing system complexity: improve handling of short follow-up messages using conversation context, strengthen the distinction between FEATURE_OR_UI and CONTENT_OR_CATALOG, improve retrieval for sparse messages, and add a small development-only calibration study for retrieval and prompt behavior. The held-out test set would remain frozen during this work.</w:t>
      </w:r>
    </w:p>
    <w:p w14:paraId="2772087D" w14:textId="77777777" w:rsidR="00BD2AF7" w:rsidRDefault="00000000">
      <w:r>
        <w:t>The resulting system prioritizes a simple, explainable, reproducible pipeline over unnecessary complexity. Its evaluation package reports both strengths and failure modes, including the limitations of automated reply judging.</w:t>
      </w:r>
    </w:p>
    <w:p w14:paraId="5CBC7861" w14:textId="77777777" w:rsidR="00BD2AF7" w:rsidRDefault="00BD2AF7"/>
    <w:p w14:paraId="4562FA54" w14:textId="77777777" w:rsidR="00BD2AF7" w:rsidRDefault="00000000">
      <w:pPr>
        <w:jc w:val="center"/>
      </w:pPr>
      <w:r>
        <w:rPr>
          <w:b/>
          <w:sz w:val="16"/>
        </w:rPr>
        <w:t>Key artifacts: README.md • requirements.txt • src/agent.py • src/demo.py • results/</w:t>
      </w:r>
    </w:p>
    <w:sectPr w:rsidR="00BD2AF7"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7073085">
    <w:abstractNumId w:val="8"/>
  </w:num>
  <w:num w:numId="2" w16cid:durableId="1060061732">
    <w:abstractNumId w:val="6"/>
  </w:num>
  <w:num w:numId="3" w16cid:durableId="696734096">
    <w:abstractNumId w:val="5"/>
  </w:num>
  <w:num w:numId="4" w16cid:durableId="430200425">
    <w:abstractNumId w:val="4"/>
  </w:num>
  <w:num w:numId="5" w16cid:durableId="100106147">
    <w:abstractNumId w:val="7"/>
  </w:num>
  <w:num w:numId="6" w16cid:durableId="374352205">
    <w:abstractNumId w:val="3"/>
  </w:num>
  <w:num w:numId="7" w16cid:durableId="2065835385">
    <w:abstractNumId w:val="2"/>
  </w:num>
  <w:num w:numId="8" w16cid:durableId="84690177">
    <w:abstractNumId w:val="1"/>
  </w:num>
  <w:num w:numId="9" w16cid:durableId="830751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0D0C"/>
    <w:rsid w:val="0029639D"/>
    <w:rsid w:val="00326F90"/>
    <w:rsid w:val="00762FCD"/>
    <w:rsid w:val="00AA1D8D"/>
    <w:rsid w:val="00AE39F4"/>
    <w:rsid w:val="00B47730"/>
    <w:rsid w:val="00BD2AF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2794ED"/>
  <w14:defaultImageDpi w14:val="300"/>
  <w15:docId w15:val="{53774C70-A00C-4E84-BC72-F24703AD7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1001</Words>
  <Characters>5706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Bareera Aiman</cp:lastModifiedBy>
  <cp:revision>3</cp:revision>
  <dcterms:created xsi:type="dcterms:W3CDTF">2013-12-23T23:15:00Z</dcterms:created>
  <dcterms:modified xsi:type="dcterms:W3CDTF">2026-09-20T08:22:00Z</dcterms:modified>
  <cp:category/>
</cp:coreProperties>
</file>