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Priya Nair</w:t>
      </w:r>
    </w:p>
    <w:p>
      <w:r>
        <w:t>Order to Cash Associate</w:t>
      </w:r>
    </w:p>
    <w:p>
      <w:r>
        <w:t>Summary</w:t>
      </w:r>
    </w:p>
    <w:p>
      <w:r>
        <w:t>O2C professional managing customer billing, credit notes, and revenue recognition review for a mid-size distribution client.</w:t>
      </w:r>
    </w:p>
    <w:p>
      <w:r>
        <w:t>Experience</w:t>
      </w:r>
    </w:p>
    <w:p>
      <w:r>
        <w:t>Manage customer billing cycles and issue credit notes for disputed invoices.</w:t>
      </w:r>
    </w:p>
    <w:p>
      <w:r>
        <w:t>Review revenue recognition entries for accuracy against signed contracts.</w:t>
      </w:r>
    </w:p>
    <w:p>
      <w:r>
        <w:t>Reconcile customer accounts and follow up on overdue receivables.</w:t>
      </w:r>
    </w:p>
    <w:p>
      <w:r>
        <w:t>Skills</w:t>
      </w:r>
    </w:p>
    <w:p>
      <w:r>
        <w:t>Billing, credit notes, revenue recognition, accounts receivable, Excel, SAP.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