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Padrão de Acessos por Setor — Icatu Brasil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fluxograma interno "Processo Padrão para Criação de Usuário" fornecido pelo usuário.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0"/>
      </w:tblGrid>
      <w:tr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8600"/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Acessos Padrão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grupo de e-mail / Readmine / SANKHYA / GED / 3CX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grupo de e-mail / Readmine / SANKHYA / GED / 3CX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Readmine / SANKHYA / GED / 3CX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(icatubrasil.com.br ou grupoicatubrasil.com.br) / Readmine / SANKHYA / 3CX / Teams / Equipamento sem restrição de acesso a sites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grupo de e-mail / Readmine / GED / 3CX / Superchat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Readmine / GED / 3CX / SANKHYA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</w:t>
            </w:r>
          </w:p>
        </w:tc>
        <w:tc>
          <w:tcPr>
            <w:tcW w:type="dxa" w:w="8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/ E-mail / Readmine / GED / 3CX / SANKHYA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2026-09-14T17:50:06.441Z</dcterms:created>
  <dcterms:modified xsi:type="dcterms:W3CDTF">2026-09-14T17:50:06.441Z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