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E293B"/>
          <w:sz w:val="40"/>
          <w:szCs w:val="40"/>
        </w:rPr>
        <w:t xml:space="preserve">PREDICTIVE MAINTENANCE &amp; HEALTH INDEX FRAMEWORK</w:t>
      </w:r>
    </w:p>
    <w:p>
      <w:pPr>
        <w:spacing w:after="100" w:before="100"/>
        <w:jc w:val="center"/>
      </w:pPr>
      <w:r>
        <w:rPr>
          <w:color w:val="64748B"/>
          <w:sz w:val="26"/>
          <w:szCs w:val="26"/>
        </w:rPr>
        <w:t xml:space="preserve">High-Speed Precision Machining Equipment — Automotive Powertrain Components</w:t>
      </w:r>
    </w:p>
    <w:p>
      <w:pPr>
        <w:spacing w:before="40"/>
        <w:jc w:val="center"/>
      </w:pPr>
      <w:r>
        <w:rPr>
          <w:i/>
          <w:iCs/>
          <w:color w:val="64748B"/>
          <w:sz w:val="22"/>
          <w:szCs w:val="22"/>
        </w:rPr>
        <w:t xml:space="preserve">Engine Block Bore · Crankshaft Journals · Gear Teeth Machining Centers</w:t>
      </w:r>
    </w:p>
    <w:p>
      <w:pPr>
        <w:spacing w:before="400"/>
        <w:jc w:val="center"/>
      </w:pPr>
      <w:r>
        <w:rPr>
          <w:b/>
          <w:bCs/>
          <w:sz w:val="24"/>
          <w:szCs w:val="24"/>
        </w:rPr>
        <w:t xml:space="preserve">Executive Technical Report</w:t>
      </w:r>
    </w:p>
    <w:p>
      <w:pPr>
        <w:spacing w:before="800"/>
        <w:jc w:val="center"/>
      </w:pPr>
      <w:r>
        <w:rPr>
          <w:color w:val="64748B"/>
          <w:sz w:val="20"/>
          <w:szCs w:val="20"/>
        </w:rPr>
        <w:t xml:space="preserve">Prepared as a portfolio capstone demonstrating mechanical-domain-integrated data analytics for OEM manufacturing applications.</w:t>
      </w:r>
    </w:p>
    <w:p>
      <w:r>
        <w:br w:type="page"/>
      </w:r>
    </w:p>
    <w:p>
      <w:pPr>
        <w:pStyle w:val="Heading1"/>
        <w:spacing w:after="200" w:before="400"/>
      </w:pPr>
      <w:r>
        <w:t xml:space="preserve">1. Executive Summary</w:t>
      </w:r>
    </w:p>
    <w:p>
      <w:pPr>
        <w:spacing w:after="160"/>
        <w:jc w:val="both"/>
      </w:pPr>
      <w:r>
        <w:t xml:space="preserve">This report presents an end-to-end predictive maintenance (PdM) and machine health-index framework designed for high-speed precision machining and stamping equipment used in automotive powertrain component manufacturing — specifically engine block boring, crankshaft journal grinding, and gear-teeth cutting operations. The framework fuses mechanical-engineering-derived sensor physics with a gradient-boosted machine learning pipeline (XGBoost) to predict Remaining Useful Life (RUL) and classify tool wear state ahead of failure, enabling a strategic shift from Time-Based Maintenance (TBM) to Condition-Based Maintenance (CBM).</w:t>
      </w:r>
    </w:p>
    <w:p>
      <w:pPr>
        <w:spacing w:after="160"/>
        <w:jc w:val="both"/>
      </w:pPr>
      <w:r>
        <w:t xml:space="preserve">The central thesis of this project is that mechanical domain knowledge is not incidental to this analysis — it is the mechanism that makes the analytics trustworthy and actionable. Every engineered feature (specific cutting energy, flank wear rate, thermal growth, vibration spectral kurtosis) is derived from a governing physical relationship, not generic signal statistics. This is what separates a model a shop-floor engineer will act on from one they will not.</w:t>
      </w:r>
    </w:p>
    <w:p>
      <w:pPr>
        <w:spacing w:after="100"/>
      </w:pPr>
      <w:r>
        <w:rPr>
          <w:b/>
          <w:bCs/>
        </w:rPr>
        <w:t xml:space="preserve">Key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8FAFC" w:val="clear"/>
            <w:tcMar>
              <w:top w:type="dxa" w:w="80"/>
              <w:left w:type="dxa" w:w="150"/>
              <w:bottom w:type="dxa" w:w="80"/>
              <w:right w:type="dxa" w:w="150"/>
            </w:tcMar>
          </w:tcPr>
          <w:p>
            <w:r>
              <w:rPr>
                <w:sz w:val="20"/>
                <w:szCs w:val="20"/>
              </w:rPr>
              <w:t xml:space="preserve">RUL Prediction Accuracy (Mean Absolute Error)</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 13.82 cycles (R² = 0.5861)</w:t>
            </w:r>
          </w:p>
        </w:tc>
      </w:tr>
      <w:tr>
        <w:tc>
          <w:tcPr>
            <w:tcW w:type="dxa" w:w="6000"/>
            <w:shd w:fill="FFFFFF" w:val="clear"/>
            <w:tcMar>
              <w:top w:type="dxa" w:w="80"/>
              <w:left w:type="dxa" w:w="150"/>
              <w:bottom w:type="dxa" w:w="80"/>
              <w:right w:type="dxa" w:w="150"/>
            </w:tcMar>
          </w:tcPr>
          <w:p>
            <w:r>
              <w:rPr>
                <w:sz w:val="20"/>
                <w:szCs w:val="20"/>
              </w:rPr>
              <w:t xml:space="preserve">Tool Wear State Classification Accuracy</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99.9% (Macro-F1 = 0.994)</w:t>
            </w:r>
          </w:p>
        </w:tc>
      </w:tr>
      <w:tr>
        <w:tc>
          <w:tcPr>
            <w:tcW w:type="dxa" w:w="6000"/>
            <w:shd w:fill="F8FAFC" w:val="clear"/>
            <w:tcMar>
              <w:top w:type="dxa" w:w="80"/>
              <w:left w:type="dxa" w:w="150"/>
              <w:bottom w:type="dxa" w:w="80"/>
              <w:right w:type="dxa" w:w="150"/>
            </w:tcMar>
          </w:tcPr>
          <w:p>
            <w:r>
              <w:rPr>
                <w:sz w:val="20"/>
                <w:szCs w:val="20"/>
              </w:rPr>
              <w:t xml:space="preserve">Projected OEE Improvement</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+7.52 percentage points</w:t>
            </w:r>
          </w:p>
        </w:tc>
      </w:tr>
      <w:tr>
        <w:tc>
          <w:tcPr>
            <w:tcW w:type="dxa" w:w="6000"/>
            <w:shd w:fill="FFFFFF" w:val="clear"/>
            <w:tcMar>
              <w:top w:type="dxa" w:w="80"/>
              <w:left w:type="dxa" w:w="150"/>
              <w:bottom w:type="dxa" w:w="80"/>
              <w:right w:type="dxa" w:w="150"/>
            </w:tcMar>
          </w:tcPr>
          <w:p>
            <w:r>
              <w:rPr>
                <w:sz w:val="20"/>
                <w:szCs w:val="20"/>
              </w:rPr>
              <w:t xml:space="preserve">Unplanned Downtime Reduction</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24.25 hrs/month avoided</w:t>
            </w:r>
          </w:p>
        </w:tc>
      </w:tr>
      <w:tr>
        <w:tc>
          <w:tcPr>
            <w:tcW w:type="dxa" w:w="6000"/>
            <w:shd w:fill="F8FAFC" w:val="clear"/>
            <w:tcMar>
              <w:top w:type="dxa" w:w="80"/>
              <w:left w:type="dxa" w:w="150"/>
              <w:bottom w:type="dxa" w:w="80"/>
              <w:right w:type="dxa" w:w="150"/>
            </w:tcMar>
          </w:tcPr>
          <w:p>
            <w:r>
              <w:rPr>
                <w:sz w:val="20"/>
                <w:szCs w:val="20"/>
              </w:rPr>
              <w:t xml:space="preserve">Projected Annual Cost Savings</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₹1,43,08,800</w:t>
            </w:r>
          </w:p>
        </w:tc>
      </w:tr>
    </w:tbl>
    <w:p>
      <w:pPr>
        <w:pStyle w:val="Heading1"/>
        <w:spacing w:after="200" w:before="400"/>
      </w:pPr>
      <w:r>
        <w:t xml:space="preserve">2. Sensor Data Synthesis &amp; Mechanical Context</w:t>
      </w:r>
    </w:p>
    <w:p>
      <w:pPr>
        <w:spacing w:after="160"/>
        <w:jc w:val="both"/>
      </w:pPr>
      <w:r>
        <w:t xml:space="preserve">Data Sourcing Note: This framework was developed and validated on a physics-informed synthetic dataset engineered to statistically mirror the degradation structure of public run-to-failure benchmarks — NASA C-MAPSS (turbofan degradation labeling convention), the Kaggle/OpenML CNC Mill Tool Wear dataset, and Bosch Production Line Performance (multi-sensor process telemetry). Live shop-floor SCADA/PLC telemetry was not accessible in this development environment, so a governing-equation-based generator was built to produce realistic sensor trajectories. The pipeline architecture below is dataset-agnostic and is designed to be pointed directly at live machine telemetry (OPC-UA / MTConnect feeds) in a production deployment.</w:t>
      </w:r>
    </w:p>
    <w:p>
      <w:pPr>
        <w:pStyle w:val="Heading2"/>
        <w:spacing w:after="140" w:before="280"/>
      </w:pPr>
      <w:r>
        <w:t xml:space="preserve">2.1 Physical Basis of the Synthetic Generator</w:t>
      </w:r>
    </w:p>
    <w:p>
      <w:pPr>
        <w:spacing w:after="160"/>
        <w:jc w:val="both"/>
      </w:pPr>
      <w:r>
        <w:t xml:space="preserve">Flank wear (VB) progression follows the extended Taylor Tool Life relationship, V·Tⁿ·fᵃ·dᵇ = C, and a three-stage ISO 3685 wear curve (break-in, steady-state, accelerated failure). Dependent sensor channels (vibration RMS, spectral kurtosis, spindle bearing temperature rise, acoustic emission, cutting force, motor power) are generated as physically consistent functions of instantaneous flank wear plus realistic sensor noise — the same cross-correlation structure seen in real machining telemetry.</w:t>
      </w:r>
    </w:p>
    <w:p>
      <w:pPr>
        <w:pStyle w:val="Heading2"/>
        <w:spacing w:after="140" w:before="280"/>
      </w:pPr>
      <w:r>
        <w:t xml:space="preserve">2.2 Sensor Channels Captured</w:t>
      </w:r>
    </w:p>
    <w:p>
      <w:pPr>
        <w:pStyle w:val="ListParagraph"/>
        <w:numPr>
          <w:ilvl w:val="0"/>
          <w:numId w:val="1"/>
        </w:numPr>
        <w:spacing w:after="80"/>
      </w:pPr>
      <w:r>
        <w:t xml:space="preserve">Vibration: RMS acceleration (m/s²), spectral kurtosis (impacting/chipping indicator)</w:t>
      </w:r>
    </w:p>
    <w:p>
      <w:pPr>
        <w:pStyle w:val="ListParagraph"/>
        <w:numPr>
          <w:ilvl w:val="0"/>
          <w:numId w:val="1"/>
        </w:numPr>
        <w:spacing w:after="80"/>
      </w:pPr>
      <w:r>
        <w:t xml:space="preserve">Thermal: Spindle bearing temperature rise (°C) — thermal growth proxy</w:t>
      </w:r>
    </w:p>
    <w:p>
      <w:pPr>
        <w:pStyle w:val="ListParagraph"/>
        <w:numPr>
          <w:ilvl w:val="0"/>
          <w:numId w:val="1"/>
        </w:numPr>
        <w:spacing w:after="80"/>
      </w:pPr>
      <w:r>
        <w:t xml:space="preserve">Acoustic Emission: RMS voltage — micro-chipping and crack-propagation indicator</w:t>
      </w:r>
    </w:p>
    <w:p>
      <w:pPr>
        <w:pStyle w:val="ListParagraph"/>
        <w:numPr>
          <w:ilvl w:val="0"/>
          <w:numId w:val="1"/>
        </w:numPr>
        <w:spacing w:after="80"/>
      </w:pPr>
      <w:r>
        <w:t xml:space="preserve">Process: Spindle speed (RPM), feed rate (mm/rev), depth of cut (mm), coolant flow (L/min)</w:t>
      </w:r>
    </w:p>
    <w:p>
      <w:pPr>
        <w:pStyle w:val="ListParagraph"/>
        <w:numPr>
          <w:ilvl w:val="0"/>
          <w:numId w:val="1"/>
        </w:numPr>
        <w:spacing w:after="80"/>
      </w:pPr>
      <w:r>
        <w:t xml:space="preserve">Force/Power: Cutting force (N), spindle motor power draw (kW)</w:t>
      </w:r>
    </w:p>
    <w:p>
      <w:pPr>
        <w:pStyle w:val="ListParagraph"/>
        <w:numPr>
          <w:ilvl w:val="0"/>
          <w:numId w:val="1"/>
        </w:numPr>
        <w:spacing w:after="80"/>
      </w:pPr>
      <w:r>
        <w:t xml:space="preserve">Tool Condition: Flank wear VB (mm), tool wear state (Healthy / Degraded / Critical), RUL (cycles)</w:t>
      </w:r>
    </w:p>
    <w:p>
      <w:pPr>
        <w:spacing w:after="160"/>
        <w:jc w:val="both"/>
      </w:pPr>
      <w:r>
        <w:t xml:space="preserve">Dataset scale: 45 simulated machining centers, 4,642 cycle-level records spanning full run-to-failure trajectories.</w:t>
      </w:r>
    </w:p>
    <w:p>
      <w:pPr>
        <w:pStyle w:val="Heading1"/>
        <w:spacing w:after="200" w:before="400"/>
      </w:pPr>
      <w:r>
        <w:t xml:space="preserve">3. Mechanical Feature Engineering</w:t>
      </w:r>
    </w:p>
    <w:p>
      <w:pPr>
        <w:spacing w:after="160"/>
        <w:jc w:val="both"/>
      </w:pPr>
      <w:r>
        <w:t xml:space="preserve">Raw sensor values alone under-perform in gradient-boosted models because they don't encode the physics governing failure. The feature engineering layer below converts raw telemetry into mechanically interpretable predictors — this is the primary value contribution of mechanical domain expertise to the analytics pipeline.</w:t>
      </w:r>
    </w:p>
    <w:p>
      <w:pPr>
        <w:pStyle w:val="Heading2"/>
        <w:spacing w:after="140" w:before="280"/>
      </w:pPr>
      <w:r>
        <w:t xml:space="preserve">3.1 Engineered Feature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8FAFC" w:val="clear"/>
            <w:tcMar>
              <w:top w:type="dxa" w:w="80"/>
              <w:left w:type="dxa" w:w="150"/>
              <w:bottom w:type="dxa" w:w="80"/>
              <w:right w:type="dxa" w:w="150"/>
            </w:tcMar>
          </w:tcPr>
          <w:p>
            <w:r>
              <w:rPr>
                <w:sz w:val="20"/>
                <w:szCs w:val="20"/>
              </w:rPr>
              <w:t xml:space="preserve">Specific Cutting Energy (Uc)</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J/mm³ — Fc / (feed × depth of cut)</w:t>
            </w:r>
          </w:p>
        </w:tc>
      </w:tr>
      <w:tr>
        <w:tc>
          <w:tcPr>
            <w:tcW w:type="dxa" w:w="6000"/>
            <w:shd w:fill="FFFFFF" w:val="clear"/>
            <w:tcMar>
              <w:top w:type="dxa" w:w="80"/>
              <w:left w:type="dxa" w:w="150"/>
              <w:bottom w:type="dxa" w:w="80"/>
              <w:right w:type="dxa" w:w="150"/>
            </w:tcMar>
          </w:tcPr>
          <w:p>
            <w:r>
              <w:rPr>
                <w:sz w:val="20"/>
                <w:szCs w:val="20"/>
              </w:rPr>
              <w:t xml:space="preserve">Material Removal Rate (MRR)</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mm³/min — feed × depth × RPM</w:t>
            </w:r>
          </w:p>
        </w:tc>
      </w:tr>
      <w:tr>
        <w:tc>
          <w:tcPr>
            <w:tcW w:type="dxa" w:w="6000"/>
            <w:shd w:fill="F8FAFC" w:val="clear"/>
            <w:tcMar>
              <w:top w:type="dxa" w:w="80"/>
              <w:left w:type="dxa" w:w="150"/>
              <w:bottom w:type="dxa" w:w="80"/>
              <w:right w:type="dxa" w:w="150"/>
            </w:tcMar>
          </w:tcPr>
          <w:p>
            <w:r>
              <w:rPr>
                <w:sz w:val="20"/>
                <w:szCs w:val="20"/>
              </w:rPr>
              <w:t xml:space="preserve">Mechanical Efficiency Ratio</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Theoretical cutting power / actual motor power draw</w:t>
            </w:r>
          </w:p>
        </w:tc>
      </w:tr>
      <w:tr>
        <w:tc>
          <w:tcPr>
            <w:tcW w:type="dxa" w:w="6000"/>
            <w:shd w:fill="FFFFFF" w:val="clear"/>
            <w:tcMar>
              <w:top w:type="dxa" w:w="80"/>
              <w:left w:type="dxa" w:w="150"/>
              <w:bottom w:type="dxa" w:w="80"/>
              <w:right w:type="dxa" w:w="150"/>
            </w:tcMar>
          </w:tcPr>
          <w:p>
            <w:r>
              <w:rPr>
                <w:sz w:val="20"/>
                <w:szCs w:val="20"/>
              </w:rPr>
              <w:t xml:space="preserve">Vibration Signal-to-Noise Ratio</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dB, 5-cycle rolling window</w:t>
            </w:r>
          </w:p>
        </w:tc>
      </w:tr>
      <w:tr>
        <w:tc>
          <w:tcPr>
            <w:tcW w:type="dxa" w:w="6000"/>
            <w:shd w:fill="F8FAFC" w:val="clear"/>
            <w:tcMar>
              <w:top w:type="dxa" w:w="80"/>
              <w:left w:type="dxa" w:w="150"/>
              <w:bottom w:type="dxa" w:w="80"/>
              <w:right w:type="dxa" w:w="150"/>
            </w:tcMar>
          </w:tcPr>
          <w:p>
            <w:r>
              <w:rPr>
                <w:sz w:val="20"/>
                <w:szCs w:val="20"/>
              </w:rPr>
              <w:t xml:space="preserve">Thermal Growth Rate</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d(Temp)/d(cycle) — bearing thermal expansion rate</w:t>
            </w:r>
          </w:p>
        </w:tc>
      </w:tr>
      <w:tr>
        <w:tc>
          <w:tcPr>
            <w:tcW w:type="dxa" w:w="6000"/>
            <w:shd w:fill="FFFFFF" w:val="clear"/>
            <w:tcMar>
              <w:top w:type="dxa" w:w="80"/>
              <w:left w:type="dxa" w:w="150"/>
              <w:bottom w:type="dxa" w:w="80"/>
              <w:right w:type="dxa" w:w="150"/>
            </w:tcMar>
          </w:tcPr>
          <w:p>
            <w:r>
              <w:rPr>
                <w:sz w:val="20"/>
                <w:szCs w:val="20"/>
              </w:rPr>
              <w:t xml:space="preserve">Wear Rate &amp; Wear Acceleration</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1st &amp; 2nd derivative of flank wear VB</w:t>
            </w:r>
          </w:p>
        </w:tc>
      </w:tr>
      <w:tr>
        <w:tc>
          <w:tcPr>
            <w:tcW w:type="dxa" w:w="6000"/>
            <w:shd w:fill="F8FAFC" w:val="clear"/>
            <w:tcMar>
              <w:top w:type="dxa" w:w="80"/>
              <w:left w:type="dxa" w:w="150"/>
              <w:bottom w:type="dxa" w:w="80"/>
              <w:right w:type="dxa" w:w="150"/>
            </w:tcMar>
          </w:tcPr>
          <w:p>
            <w:r>
              <w:rPr>
                <w:sz w:val="20"/>
                <w:szCs w:val="20"/>
              </w:rPr>
              <w:t xml:space="preserve">Rolling Degradation Trends</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5-cycle &amp; 15-cycle rolling mean/std, vibration &amp; temperature</w:t>
            </w:r>
          </w:p>
        </w:tc>
      </w:tr>
    </w:tbl>
    <w:p>
      <w:pPr>
        <w:spacing w:after="160"/>
        <w:jc w:val="both"/>
      </w:pPr>
      <w:r>
        <w:t xml:space="preserve">These physics-derived features consistently rank as the top SHAP contributors in Section 5, directly validating that mechanically-grounded feature engineering — not raw sensor values — drives model performance.</w:t>
      </w:r>
    </w:p>
    <w:p>
      <w:pPr>
        <w:pStyle w:val="Heading1"/>
        <w:spacing w:after="200" w:before="400"/>
      </w:pPr>
      <w:r>
        <w:t xml:space="preserve">4. XGBoost Model Evaluation</w:t>
      </w:r>
    </w:p>
    <w:p>
      <w:pPr>
        <w:pStyle w:val="Heading2"/>
        <w:spacing w:after="140" w:before="280"/>
      </w:pPr>
      <w:r>
        <w:t xml:space="preserve">4.1 Remaining Useful Life (RUL) Regression</w:t>
      </w:r>
    </w:p>
    <w:p>
      <w:pPr>
        <w:spacing w:after="160"/>
        <w:jc w:val="both"/>
      </w:pPr>
      <w:r>
        <w:t xml:space="preserve">An XGBoost Regressor was trained to predict RUL in machining cycles. A group-aware train/test split (by machine unit_id) prevents any single machine's life trajectory from leaking across train and test sets. Hyperparameters were tuned via RandomizedSearchCV (25 iterations, 4-fold GroupKFold cross-validation) across n_estimators, max_depth, learning_rate, subsample, colsample_bytree, min_child_weight, and L2 regularization (reg_lambda).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8FAFC" w:val="clear"/>
            <w:tcMar>
              <w:top w:type="dxa" w:w="80"/>
              <w:left w:type="dxa" w:w="150"/>
              <w:bottom w:type="dxa" w:w="80"/>
              <w:right w:type="dxa" w:w="150"/>
            </w:tcMar>
          </w:tcPr>
          <w:p>
            <w:r>
              <w:rPr>
                <w:sz w:val="20"/>
                <w:szCs w:val="20"/>
              </w:rPr>
              <w:t xml:space="preserve">Mean Absolute Error</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13.82 cycles</w:t>
            </w:r>
          </w:p>
        </w:tc>
      </w:tr>
      <w:tr>
        <w:tc>
          <w:tcPr>
            <w:tcW w:type="dxa" w:w="6000"/>
            <w:shd w:fill="FFFFFF" w:val="clear"/>
            <w:tcMar>
              <w:top w:type="dxa" w:w="80"/>
              <w:left w:type="dxa" w:w="150"/>
              <w:bottom w:type="dxa" w:w="80"/>
              <w:right w:type="dxa" w:w="150"/>
            </w:tcMar>
          </w:tcPr>
          <w:p>
            <w:r>
              <w:rPr>
                <w:sz w:val="20"/>
                <w:szCs w:val="20"/>
              </w:rPr>
              <w:t xml:space="preserve">Root Mean Squared Error</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20.79 cycles</w:t>
            </w:r>
          </w:p>
        </w:tc>
      </w:tr>
      <w:tr>
        <w:tc>
          <w:tcPr>
            <w:tcW w:type="dxa" w:w="6000"/>
            <w:shd w:fill="F8FAFC" w:val="clear"/>
            <w:tcMar>
              <w:top w:type="dxa" w:w="80"/>
              <w:left w:type="dxa" w:w="150"/>
              <w:bottom w:type="dxa" w:w="80"/>
              <w:right w:type="dxa" w:w="150"/>
            </w:tcMar>
          </w:tcPr>
          <w:p>
            <w:r>
              <w:rPr>
                <w:sz w:val="20"/>
                <w:szCs w:val="20"/>
              </w:rPr>
              <w:t xml:space="preserve">R² Score</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0.5861</w:t>
            </w:r>
          </w:p>
        </w:tc>
      </w:tr>
      <w:tr>
        <w:tc>
          <w:tcPr>
            <w:tcW w:type="dxa" w:w="6000"/>
            <w:shd w:fill="FFFFFF" w:val="clear"/>
            <w:tcMar>
              <w:top w:type="dxa" w:w="80"/>
              <w:left w:type="dxa" w:w="150"/>
              <w:bottom w:type="dxa" w:w="80"/>
              <w:right w:type="dxa" w:w="150"/>
            </w:tcMar>
          </w:tcPr>
          <w:p>
            <w:r>
              <w:rPr>
                <w:sz w:val="20"/>
                <w:szCs w:val="20"/>
              </w:rPr>
              <w:t xml:space="preserve">Best learning_rate</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0.01</w:t>
            </w:r>
          </w:p>
        </w:tc>
      </w:tr>
      <w:tr>
        <w:tc>
          <w:tcPr>
            <w:tcW w:type="dxa" w:w="6000"/>
            <w:shd w:fill="F8FAFC" w:val="clear"/>
            <w:tcMar>
              <w:top w:type="dxa" w:w="80"/>
              <w:left w:type="dxa" w:w="150"/>
              <w:bottom w:type="dxa" w:w="80"/>
              <w:right w:type="dxa" w:w="150"/>
            </w:tcMar>
          </w:tcPr>
          <w:p>
            <w:r>
              <w:rPr>
                <w:sz w:val="20"/>
                <w:szCs w:val="20"/>
              </w:rPr>
              <w:t xml:space="preserve">Best max_depth</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3</w:t>
            </w:r>
          </w:p>
        </w:tc>
      </w:tr>
      <w:tr>
        <w:tc>
          <w:tcPr>
            <w:tcW w:type="dxa" w:w="6000"/>
            <w:shd w:fill="FFFFFF" w:val="clear"/>
            <w:tcMar>
              <w:top w:type="dxa" w:w="80"/>
              <w:left w:type="dxa" w:w="150"/>
              <w:bottom w:type="dxa" w:w="80"/>
              <w:right w:type="dxa" w:w="150"/>
            </w:tcMar>
          </w:tcPr>
          <w:p>
            <w:r>
              <w:rPr>
                <w:sz w:val="20"/>
                <w:szCs w:val="20"/>
              </w:rPr>
              <w:t xml:space="preserve">Best n_estimators</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600</w:t>
            </w:r>
          </w:p>
        </w:tc>
      </w:tr>
    </w:tbl>
    <w:p>
      <w:pPr>
        <w:spacing w:after="60" w:before="120"/>
        <w:jc w:val="center"/>
      </w:pPr>
      <w:r>
        <w:drawing>
          <wp:inline distT="0" distB="0" distL="0" distR="0">
            <wp:extent cx="41910000" cy="38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0" cy="38100000"/>
                    </a:xfrm>
                    <a:prstGeom prst="rect">
                      <a:avLst/>
                    </a:prstGeom>
                  </pic:spPr>
                </pic:pic>
              </a:graphicData>
            </a:graphic>
          </wp:inline>
        </w:drawing>
      </w:r>
    </w:p>
    <w:p>
      <w:pPr>
        <w:spacing w:after="240"/>
        <w:jc w:val="center"/>
      </w:pPr>
      <w:r>
        <w:rPr>
          <w:i/>
          <w:iCs/>
          <w:color w:val="64748B"/>
          <w:sz w:val="18"/>
          <w:szCs w:val="18"/>
        </w:rPr>
        <w:t xml:space="preserve">Figure 1 — Predicted vs. Actual RUL (test set, held-out machines)</w:t>
      </w:r>
    </w:p>
    <w:p>
      <w:pPr>
        <w:pStyle w:val="Heading2"/>
        <w:spacing w:after="140" w:before="280"/>
      </w:pPr>
      <w:r>
        <w:t xml:space="preserve">4.2 Tool Wear State Classification</w:t>
      </w:r>
    </w:p>
    <w:p>
      <w:pPr>
        <w:spacing w:after="160"/>
        <w:jc w:val="both"/>
      </w:pPr>
      <w:r>
        <w:t xml:space="preserve">A companion XGBoost multi-class classifier predicts discrete tool wear state (Healthy / Degraded / Critical) per ISO 3685 flank-wear thresholds — this maps directly to maintenance-team alert tiers (green/amber/red).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8FAFC" w:val="clear"/>
            <w:tcMar>
              <w:top w:type="dxa" w:w="80"/>
              <w:left w:type="dxa" w:w="150"/>
              <w:bottom w:type="dxa" w:w="80"/>
              <w:right w:type="dxa" w:w="150"/>
            </w:tcMar>
          </w:tcPr>
          <w:p>
            <w:r>
              <w:rPr>
                <w:sz w:val="20"/>
                <w:szCs w:val="20"/>
              </w:rPr>
              <w:t xml:space="preserve">Accuracy</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99.91%</w:t>
            </w:r>
          </w:p>
        </w:tc>
      </w:tr>
      <w:tr>
        <w:tc>
          <w:tcPr>
            <w:tcW w:type="dxa" w:w="6000"/>
            <w:shd w:fill="FFFFFF" w:val="clear"/>
            <w:tcMar>
              <w:top w:type="dxa" w:w="80"/>
              <w:left w:type="dxa" w:w="150"/>
              <w:bottom w:type="dxa" w:w="80"/>
              <w:right w:type="dxa" w:w="150"/>
            </w:tcMar>
          </w:tcPr>
          <w:p>
            <w:r>
              <w:rPr>
                <w:sz w:val="20"/>
                <w:szCs w:val="20"/>
              </w:rPr>
              <w:t xml:space="preserve">Macro F1-Score</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0.994</w:t>
            </w:r>
          </w:p>
        </w:tc>
      </w:tr>
    </w:tbl>
    <w:p>
      <w:pPr>
        <w:spacing w:after="60" w:before="120"/>
        <w:jc w:val="center"/>
      </w:pPr>
      <w:r>
        <w:drawing>
          <wp:inline distT="0" distB="0" distL="0" distR="0">
            <wp:extent cx="34290000" cy="3000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0" cy="30003750"/>
                    </a:xfrm>
                    <a:prstGeom prst="rect">
                      <a:avLst/>
                    </a:prstGeom>
                  </pic:spPr>
                </pic:pic>
              </a:graphicData>
            </a:graphic>
          </wp:inline>
        </w:drawing>
      </w:r>
    </w:p>
    <w:p>
      <w:pPr>
        <w:spacing w:after="240"/>
        <w:jc w:val="center"/>
      </w:pPr>
      <w:r>
        <w:rPr>
          <w:i/>
          <w:iCs/>
          <w:color w:val="64748B"/>
          <w:sz w:val="18"/>
          <w:szCs w:val="18"/>
        </w:rPr>
        <w:t xml:space="preserve">Figure 2 — Tool Wear State Confusion Matrix (held-out test machines)</w:t>
      </w:r>
    </w:p>
    <w:p>
      <w:pPr>
        <w:pStyle w:val="Heading1"/>
        <w:spacing w:after="200" w:before="400"/>
      </w:pPr>
      <w:r>
        <w:t xml:space="preserve">5. Failure Root Cause Analysis (SHAP Interpretability)</w:t>
      </w:r>
    </w:p>
    <w:p>
      <w:pPr>
        <w:spacing w:after="160"/>
        <w:jc w:val="both"/>
      </w:pPr>
      <w:r>
        <w:t xml:space="preserve">SHAP (SHapley Additive exPlanations) values quantify each feature's marginal contribution to a specific prediction, converting the model from a black box into an auditable engineering diagnostic tool. This is what allows a maintenance engineer to answer 'why did the model flag this machine' with a physically grounded explanation rather than a bare probability score.</w:t>
      </w:r>
    </w:p>
    <w:p>
      <w:pPr>
        <w:spacing w:after="60" w:before="120"/>
        <w:jc w:val="center"/>
      </w:pPr>
      <w:r>
        <w:drawing>
          <wp:inline distT="0" distB="0" distL="0" distR="0">
            <wp:extent cx="43815000" cy="3461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0" cy="34613850"/>
                    </a:xfrm>
                    <a:prstGeom prst="rect">
                      <a:avLst/>
                    </a:prstGeom>
                  </pic:spPr>
                </pic:pic>
              </a:graphicData>
            </a:graphic>
          </wp:inline>
        </w:drawing>
      </w:r>
    </w:p>
    <w:p>
      <w:pPr>
        <w:spacing w:after="240"/>
        <w:jc w:val="center"/>
      </w:pPr>
      <w:r>
        <w:rPr>
          <w:i/>
          <w:iCs/>
          <w:color w:val="64748B"/>
          <w:sz w:val="18"/>
          <w:szCs w:val="18"/>
        </w:rPr>
        <w:t xml:space="preserve">Figure 3 — SHAP Summary Plot: RUL Regressor. Flank wear (VB), cutting speed, and cutting force dominate — consistent with Taylor tool-life mechanics.</w:t>
      </w:r>
    </w:p>
    <w:p>
      <w:pPr>
        <w:pStyle w:val="Heading2"/>
        <w:spacing w:after="140" w:before="280"/>
      </w:pPr>
      <w:r>
        <w:t xml:space="preserve">5.1 Top Root-Cause Drivers — RUL Model</w:t>
      </w:r>
    </w:p>
    <w:p>
      <w:pPr>
        <w:pStyle w:val="ListParagraph"/>
        <w:numPr>
          <w:ilvl w:val="0"/>
          <w:numId w:val="1"/>
        </w:numPr>
        <w:spacing w:after="80"/>
      </w:pPr>
      <w:r>
        <w:t xml:space="preserve">flank wear VB mm — mean |SHAP| = 11.97</w:t>
      </w:r>
    </w:p>
    <w:p>
      <w:pPr>
        <w:pStyle w:val="ListParagraph"/>
        <w:numPr>
          <w:ilvl w:val="0"/>
          <w:numId w:val="1"/>
        </w:numPr>
        <w:spacing w:after="80"/>
      </w:pPr>
      <w:r>
        <w:t xml:space="preserve">cutting speed m min — mean |SHAP| = 8.30</w:t>
      </w:r>
    </w:p>
    <w:p>
      <w:pPr>
        <w:pStyle w:val="ListParagraph"/>
        <w:numPr>
          <w:ilvl w:val="0"/>
          <w:numId w:val="1"/>
        </w:numPr>
        <w:spacing w:after="80"/>
      </w:pPr>
      <w:r>
        <w:t xml:space="preserve">cutting force N — mean |SHAP| = 6.63</w:t>
      </w:r>
    </w:p>
    <w:p>
      <w:pPr>
        <w:pStyle w:val="ListParagraph"/>
        <w:numPr>
          <w:ilvl w:val="0"/>
          <w:numId w:val="1"/>
        </w:numPr>
        <w:spacing w:after="80"/>
      </w:pPr>
      <w:r>
        <w:t xml:space="preserve">vib rms roll mean 5 — mean |SHAP| = 4.34</w:t>
      </w:r>
    </w:p>
    <w:p>
      <w:pPr>
        <w:pStyle w:val="ListParagraph"/>
        <w:numPr>
          <w:ilvl w:val="0"/>
          <w:numId w:val="1"/>
        </w:numPr>
        <w:spacing w:after="80"/>
      </w:pPr>
      <w:r>
        <w:t xml:space="preserve">temp roll mean 5 — mean |SHAP| = 3.28</w:t>
      </w:r>
    </w:p>
    <w:p>
      <w:pPr>
        <w:pStyle w:val="ListParagraph"/>
        <w:numPr>
          <w:ilvl w:val="0"/>
          <w:numId w:val="1"/>
        </w:numPr>
        <w:spacing w:after="80"/>
      </w:pPr>
      <w:r>
        <w:t xml:space="preserve">rpm — mean |SHAP| = 2.69</w:t>
      </w:r>
    </w:p>
    <w:p>
      <w:pPr>
        <w:pStyle w:val="Heading2"/>
        <w:spacing w:after="140" w:before="280"/>
      </w:pPr>
      <w:r>
        <w:t xml:space="preserve">5.2 Top Root-Cause Drivers — Tool Wear State Model</w:t>
      </w:r>
    </w:p>
    <w:p>
      <w:pPr>
        <w:pStyle w:val="ListParagraph"/>
        <w:numPr>
          <w:ilvl w:val="0"/>
          <w:numId w:val="1"/>
        </w:numPr>
        <w:spacing w:after="80"/>
      </w:pPr>
      <w:r>
        <w:t xml:space="preserve">flank wear VB mm — mean |SHAP| = 2.194</w:t>
      </w:r>
    </w:p>
    <w:p>
      <w:pPr>
        <w:pStyle w:val="ListParagraph"/>
        <w:numPr>
          <w:ilvl w:val="0"/>
          <w:numId w:val="1"/>
        </w:numPr>
        <w:spacing w:after="80"/>
      </w:pPr>
      <w:r>
        <w:t xml:space="preserve">vib rms roll mean 5 — mean |SHAP| = 0.338</w:t>
      </w:r>
    </w:p>
    <w:p>
      <w:pPr>
        <w:pStyle w:val="ListParagraph"/>
        <w:numPr>
          <w:ilvl w:val="0"/>
          <w:numId w:val="1"/>
        </w:numPr>
        <w:spacing w:after="80"/>
      </w:pPr>
      <w:r>
        <w:t xml:space="preserve">spectral kurtosis — mean |SHAP| = 0.291</w:t>
      </w:r>
    </w:p>
    <w:p>
      <w:pPr>
        <w:pStyle w:val="ListParagraph"/>
        <w:numPr>
          <w:ilvl w:val="0"/>
          <w:numId w:val="1"/>
        </w:numPr>
        <w:spacing w:after="80"/>
      </w:pPr>
      <w:r>
        <w:t xml:space="preserve">vibration rms ms2 — mean |SHAP| = 0.230</w:t>
      </w:r>
    </w:p>
    <w:p>
      <w:pPr>
        <w:pStyle w:val="ListParagraph"/>
        <w:numPr>
          <w:ilvl w:val="0"/>
          <w:numId w:val="1"/>
        </w:numPr>
        <w:spacing w:after="80"/>
      </w:pPr>
      <w:r>
        <w:t xml:space="preserve">acoustic emission V — mean |SHAP| = 0.215</w:t>
      </w:r>
    </w:p>
    <w:p>
      <w:pPr>
        <w:pStyle w:val="ListParagraph"/>
        <w:numPr>
          <w:ilvl w:val="0"/>
          <w:numId w:val="1"/>
        </w:numPr>
        <w:spacing w:after="80"/>
      </w:pPr>
      <w:r>
        <w:t xml:space="preserve">spindle temp rise C — mean |SHAP| = 0.208</w:t>
      </w:r>
    </w:p>
    <w:p>
      <w:pPr>
        <w:spacing w:after="160"/>
        <w:jc w:val="both"/>
      </w:pPr>
      <w:r>
        <w:t xml:space="preserve">Engineering interpretation: flank wear (VB) is the dominant driver in both models, as expected from tool-wear physics. Cutting speed and cutting force rank next for RUL — directly reflecting the Taylor tool-life relationship (V·Tⁿ·fᵃ·dᵇ = C), where higher cutting speeds accelerate wear and shorten remaining life. This SHAP ranking is itself a validation check: a model whose top drivers contradict known machining physics would be untrustworthy regardless of its accuracy score.</w:t>
      </w:r>
    </w:p>
    <w:p>
      <w:pPr>
        <w:pStyle w:val="Heading1"/>
        <w:spacing w:after="200" w:before="400"/>
      </w:pPr>
      <w:r>
        <w:t xml:space="preserve">6. Composite Machine Health Index</w:t>
      </w:r>
    </w:p>
    <w:p>
      <w:pPr>
        <w:spacing w:after="160"/>
        <w:jc w:val="both"/>
      </w:pPr>
      <w:r>
        <w:t xml:space="preserve">For shop-floor usability, the multi-sensor state is condensed into a single 0–100 Composite Health Index — a weighted combination of normalized flank wear (40%), vibration RMS (25%), thermal rise (20%), and acoustic emission (15%). This gives operators and maintenance planners a single glanceable metric instead of six raw sensor channels.</w:t>
      </w:r>
    </w:p>
    <w:p>
      <w:pPr>
        <w:spacing w:after="60" w:before="120"/>
        <w:jc w:val="center"/>
      </w:pPr>
      <w:r>
        <w:drawing>
          <wp:inline distT="0" distB="0" distL="0" distR="0">
            <wp:extent cx="44767500" cy="2506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0" cy="25069800"/>
                    </a:xfrm>
                    <a:prstGeom prst="rect">
                      <a:avLst/>
                    </a:prstGeom>
                  </pic:spPr>
                </pic:pic>
              </a:graphicData>
            </a:graphic>
          </wp:inline>
        </w:drawing>
      </w:r>
    </w:p>
    <w:p>
      <w:pPr>
        <w:spacing w:after="240"/>
        <w:jc w:val="center"/>
      </w:pPr>
      <w:r>
        <w:rPr>
          <w:i/>
          <w:iCs/>
          <w:color w:val="64748B"/>
          <w:sz w:val="18"/>
          <w:szCs w:val="18"/>
        </w:rPr>
        <w:t xml:space="preserve">Figure 4 — Composite Health Index trajectory for a representative machine across its full life cycle, with alert-tier bands.</w:t>
      </w:r>
    </w:p>
    <w:p>
      <w:pPr>
        <w:pStyle w:val="Heading1"/>
        <w:spacing w:after="200" w:before="400"/>
      </w:pPr>
      <w:r>
        <w:t xml:space="preserve">7. ROI &amp; OEE Impact Analysis</w:t>
      </w:r>
    </w:p>
    <w:p>
      <w:pPr>
        <w:spacing w:after="160"/>
        <w:jc w:val="both"/>
      </w:pPr>
      <w:r>
        <w:t xml:space="preserve">Model outputs are translated into the OEE (Overall Equipment Effectiveness) framework — Availability × Performance × Quality — to quantify impact in terms a plant manager evaluates directly. All assumptions (downtime cost/hour, baseline failure rate, scrap cost) are stated explicitly below for auditability.</w:t>
      </w:r>
    </w:p>
    <w:p>
      <w:pPr>
        <w:spacing w:after="60" w:before="120"/>
        <w:jc w:val="center"/>
      </w:pPr>
      <w:r>
        <w:drawing>
          <wp:inline distT="0" distB="0" distL="0" distR="0">
            <wp:extent cx="44767500" cy="2877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0" cy="28775025"/>
                    </a:xfrm>
                    <a:prstGeom prst="rect">
                      <a:avLst/>
                    </a:prstGeom>
                  </pic:spPr>
                </pic:pic>
              </a:graphicData>
            </a:graphic>
          </wp:inline>
        </w:drawing>
      </w:r>
    </w:p>
    <w:p>
      <w:pPr>
        <w:spacing w:after="240"/>
        <w:jc w:val="center"/>
      </w:pPr>
      <w:r>
        <w:rPr>
          <w:i/>
          <w:iCs/>
          <w:color w:val="64748B"/>
          <w:sz w:val="18"/>
          <w:szCs w:val="18"/>
        </w:rPr>
        <w:t xml:space="preserve">Figure 5 — OEE component impact: current Time-Based Maintenance (TBM) vs. proposed predictive Condition-Based Maintenance (CBM).</w:t>
      </w:r>
    </w:p>
    <w:p>
      <w:pPr>
        <w:pStyle w:val="Heading2"/>
        <w:spacing w:after="140" w:before="280"/>
      </w:pPr>
      <w:r>
        <w:t xml:space="preserve">7.1 OEE Component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8FAFC" w:val="clear"/>
            <w:tcMar>
              <w:top w:type="dxa" w:w="80"/>
              <w:left w:type="dxa" w:w="150"/>
              <w:bottom w:type="dxa" w:w="80"/>
              <w:right w:type="dxa" w:w="150"/>
            </w:tcMar>
          </w:tcPr>
          <w:p>
            <w:r>
              <w:rPr>
                <w:sz w:val="20"/>
                <w:szCs w:val="20"/>
              </w:rPr>
              <w:t xml:space="preserve">Availability — TBM → CBM</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95.67% → 99.56%</w:t>
            </w:r>
          </w:p>
        </w:tc>
      </w:tr>
      <w:tr>
        <w:tc>
          <w:tcPr>
            <w:tcW w:type="dxa" w:w="6000"/>
            <w:shd w:fill="FFFFFF" w:val="clear"/>
            <w:tcMar>
              <w:top w:type="dxa" w:w="80"/>
              <w:left w:type="dxa" w:w="150"/>
              <w:bottom w:type="dxa" w:w="80"/>
              <w:right w:type="dxa" w:w="150"/>
            </w:tcMar>
          </w:tcPr>
          <w:p>
            <w:r>
              <w:rPr>
                <w:sz w:val="20"/>
                <w:szCs w:val="20"/>
              </w:rPr>
              <w:t xml:space="preserve">Performance — TBM → CBM</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87% → 91%</w:t>
            </w:r>
          </w:p>
        </w:tc>
      </w:tr>
      <w:tr>
        <w:tc>
          <w:tcPr>
            <w:tcW w:type="dxa" w:w="6000"/>
            <w:shd w:fill="F8FAFC" w:val="clear"/>
            <w:tcMar>
              <w:top w:type="dxa" w:w="80"/>
              <w:left w:type="dxa" w:w="150"/>
              <w:bottom w:type="dxa" w:w="80"/>
              <w:right w:type="dxa" w:w="150"/>
            </w:tcMar>
          </w:tcPr>
          <w:p>
            <w:r>
              <w:rPr>
                <w:sz w:val="20"/>
                <w:szCs w:val="20"/>
              </w:rPr>
              <w:t xml:space="preserve">Quality — TBM → CBM</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99.36% → 99.59%</w:t>
            </w:r>
          </w:p>
        </w:tc>
      </w:tr>
      <w:tr>
        <w:tc>
          <w:tcPr>
            <w:tcW w:type="dxa" w:w="6000"/>
            <w:shd w:fill="FFFFFF" w:val="clear"/>
            <w:tcMar>
              <w:top w:type="dxa" w:w="80"/>
              <w:left w:type="dxa" w:w="150"/>
              <w:bottom w:type="dxa" w:w="80"/>
              <w:right w:type="dxa" w:w="150"/>
            </w:tcMar>
          </w:tcPr>
          <w:p>
            <w:r>
              <w:rPr>
                <w:sz w:val="20"/>
                <w:szCs w:val="20"/>
              </w:rPr>
              <w:t xml:space="preserve">Overall OEE — TBM → CBM</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82.71% → 90.22%</w:t>
            </w:r>
          </w:p>
        </w:tc>
      </w:tr>
    </w:tbl>
    <w:p>
      <w:pPr>
        <w:pStyle w:val="Heading2"/>
        <w:spacing w:after="140" w:before="280"/>
      </w:pPr>
      <w:r>
        <w:t xml:space="preserve">7.2 Cost-Benefit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F8FAFC" w:val="clear"/>
            <w:tcMar>
              <w:top w:type="dxa" w:w="80"/>
              <w:left w:type="dxa" w:w="150"/>
              <w:bottom w:type="dxa" w:w="80"/>
              <w:right w:type="dxa" w:w="150"/>
            </w:tcMar>
          </w:tcPr>
          <w:p>
            <w:r>
              <w:rPr>
                <w:sz w:val="20"/>
                <w:szCs w:val="20"/>
              </w:rPr>
              <w:t xml:space="preserve">Unplanned downtime avoided</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24.25 hrs/month</w:t>
            </w:r>
          </w:p>
        </w:tc>
      </w:tr>
      <w:tr>
        <w:tc>
          <w:tcPr>
            <w:tcW w:type="dxa" w:w="6000"/>
            <w:shd w:fill="FFFFFF" w:val="clear"/>
            <w:tcMar>
              <w:top w:type="dxa" w:w="80"/>
              <w:left w:type="dxa" w:w="150"/>
              <w:bottom w:type="dxa" w:w="80"/>
              <w:right w:type="dxa" w:w="150"/>
            </w:tcMar>
          </w:tcPr>
          <w:p>
            <w:r>
              <w:rPr>
                <w:sz w:val="20"/>
                <w:szCs w:val="20"/>
              </w:rPr>
              <w:t xml:space="preserve">Monthly downtime cost savings</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₹10,91,250</w:t>
            </w:r>
          </w:p>
        </w:tc>
      </w:tr>
      <w:tr>
        <w:tc>
          <w:tcPr>
            <w:tcW w:type="dxa" w:w="6000"/>
            <w:shd w:fill="F8FAFC" w:val="clear"/>
            <w:tcMar>
              <w:top w:type="dxa" w:w="80"/>
              <w:left w:type="dxa" w:w="150"/>
              <w:bottom w:type="dxa" w:w="80"/>
              <w:right w:type="dxa" w:w="150"/>
            </w:tcMar>
          </w:tcPr>
          <w:p>
            <w:r>
              <w:rPr>
                <w:sz w:val="20"/>
                <w:szCs w:val="20"/>
              </w:rPr>
              <w:t xml:space="preserve">Monthly scrap cost savings</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₹1,01,150</w:t>
            </w:r>
          </w:p>
        </w:tc>
      </w:tr>
      <w:tr>
        <w:tc>
          <w:tcPr>
            <w:tcW w:type="dxa" w:w="6000"/>
            <w:shd w:fill="FFFFFF" w:val="clear"/>
            <w:tcMar>
              <w:top w:type="dxa" w:w="80"/>
              <w:left w:type="dxa" w:w="150"/>
              <w:bottom w:type="dxa" w:w="80"/>
              <w:right w:type="dxa" w:w="150"/>
            </w:tcMar>
          </w:tcPr>
          <w:p>
            <w:r>
              <w:rPr>
                <w:sz w:val="20"/>
                <w:szCs w:val="20"/>
              </w:rPr>
              <w:t xml:space="preserve">Total monthly savings</w:t>
            </w:r>
          </w:p>
        </w:tc>
        <w:tc>
          <w:tcPr>
            <w:tcW w:type="dxa" w:w="3000"/>
            <w:shd w:fill="FFFFFF" w:val="clear"/>
            <w:tcMar>
              <w:top w:type="dxa" w:w="80"/>
              <w:left w:type="dxa" w:w="150"/>
              <w:bottom w:type="dxa" w:w="80"/>
              <w:right w:type="dxa" w:w="150"/>
            </w:tcMar>
          </w:tcPr>
          <w:p>
            <w:pPr>
              <w:jc w:val="right"/>
            </w:pPr>
            <w:r>
              <w:rPr>
                <w:b/>
                <w:bCs/>
                <w:color w:val="2563EB"/>
                <w:sz w:val="20"/>
                <w:szCs w:val="20"/>
              </w:rPr>
              <w:t xml:space="preserve">₹11,92,400</w:t>
            </w:r>
          </w:p>
        </w:tc>
      </w:tr>
      <w:tr>
        <w:tc>
          <w:tcPr>
            <w:tcW w:type="dxa" w:w="6000"/>
            <w:shd w:fill="F8FAFC" w:val="clear"/>
            <w:tcMar>
              <w:top w:type="dxa" w:w="80"/>
              <w:left w:type="dxa" w:w="150"/>
              <w:bottom w:type="dxa" w:w="80"/>
              <w:right w:type="dxa" w:w="150"/>
            </w:tcMar>
          </w:tcPr>
          <w:p>
            <w:r>
              <w:rPr>
                <w:sz w:val="20"/>
                <w:szCs w:val="20"/>
              </w:rPr>
              <w:t xml:space="preserve">Projected annual savings</w:t>
            </w:r>
          </w:p>
        </w:tc>
        <w:tc>
          <w:tcPr>
            <w:tcW w:type="dxa" w:w="3000"/>
            <w:shd w:fill="F8FAFC" w:val="clear"/>
            <w:tcMar>
              <w:top w:type="dxa" w:w="80"/>
              <w:left w:type="dxa" w:w="150"/>
              <w:bottom w:type="dxa" w:w="80"/>
              <w:right w:type="dxa" w:w="150"/>
            </w:tcMar>
          </w:tcPr>
          <w:p>
            <w:pPr>
              <w:jc w:val="right"/>
            </w:pPr>
            <w:r>
              <w:rPr>
                <w:b/>
                <w:bCs/>
                <w:color w:val="2563EB"/>
                <w:sz w:val="20"/>
                <w:szCs w:val="20"/>
              </w:rPr>
              <w:t xml:space="preserve">₹1,43,08,800</w:t>
            </w:r>
          </w:p>
        </w:tc>
      </w:tr>
    </w:tbl>
    <w:p>
      <w:pPr>
        <w:pStyle w:val="Heading2"/>
        <w:spacing w:after="140" w:before="280"/>
      </w:pPr>
      <w:r>
        <w:t xml:space="preserve">7.3 Stated Assumptions (for auditability)</w:t>
      </w:r>
    </w:p>
    <w:p>
      <w:pPr>
        <w:pStyle w:val="ListParagraph"/>
        <w:numPr>
          <w:ilvl w:val="0"/>
          <w:numId w:val="1"/>
        </w:numPr>
        <w:spacing w:after="80"/>
      </w:pPr>
      <w:r>
        <w:t xml:space="preserve">Line operates 3 shifts × 8 hrs, 26 days/month</w:t>
      </w:r>
    </w:p>
    <w:p>
      <w:pPr>
        <w:pStyle w:val="ListParagraph"/>
        <w:numPr>
          <w:ilvl w:val="0"/>
          <w:numId w:val="1"/>
        </w:numPr>
        <w:spacing w:after="80"/>
      </w:pPr>
      <w:r>
        <w:t xml:space="preserve">Unplanned downtime cost: ₹45,000/hour (labor + line-stoppage opportunity cost)</w:t>
      </w:r>
    </w:p>
    <w:p>
      <w:pPr>
        <w:pStyle w:val="ListParagraph"/>
        <w:numPr>
          <w:ilvl w:val="0"/>
          <w:numId w:val="1"/>
        </w:numPr>
        <w:spacing w:after="80"/>
      </w:pPr>
      <w:r>
        <w:t xml:space="preserve">Baseline (TBM): 6 unplanned failures/month, 4.5 hrs avg reactive-repair duration</w:t>
      </w:r>
    </w:p>
    <w:p>
      <w:pPr>
        <w:pStyle w:val="ListParagraph"/>
        <w:numPr>
          <w:ilvl w:val="0"/>
          <w:numId w:val="1"/>
        </w:numPr>
        <w:spacing w:after="80"/>
      </w:pPr>
      <w:r>
        <w:t xml:space="preserve">Predictive (CBM): 1 residual undetected failure/month; remaining events become planned 0.75-hr tool swaps within the RUL alert window</w:t>
      </w:r>
    </w:p>
    <w:p>
      <w:pPr>
        <w:pStyle w:val="ListParagraph"/>
        <w:numPr>
          <w:ilvl w:val="0"/>
          <w:numId w:val="1"/>
        </w:numPr>
        <w:spacing w:after="80"/>
      </w:pPr>
      <w:r>
        <w:t xml:space="preserve">Scrap: 340 parts/month baseline at ₹850/part, 35% reduction from catching wear before out-of-tolerance cuts</w:t>
      </w:r>
    </w:p>
    <w:p>
      <w:pPr>
        <w:pStyle w:val="Heading2"/>
        <w:spacing w:after="140" w:before="280"/>
      </w:pPr>
      <w:r>
        <w:t xml:space="preserve">7.4 Maintenance Strategy Recommendation</w:t>
      </w:r>
    </w:p>
    <w:p>
      <w:pPr>
        <w:spacing w:after="160"/>
        <w:jc w:val="both"/>
      </w:pPr>
      <w:r>
        <w:t xml:space="preserve">The evidence supports transitioning this equipment class from fixed-interval Time-Based Maintenance (TBM) to Condition-Based Maintenance (CBM), gated on the Composite Health Index crossing the Degraded threshold (Health Index &lt; 70) combined with a model-flagged RUL below a 2-shift buffer window. This preserves a human-in-the-loop decision point — the model recommends a maintenance window, but the floor supervisor confirms the tool swap — which is the appropriate level of automation for a first CBM rollout on safety-relevant powertrain components.</w:t>
      </w:r>
    </w:p>
    <w:p>
      <w:pPr>
        <w:pStyle w:val="Heading1"/>
        <w:spacing w:after="200" w:before="400"/>
      </w:pPr>
      <w:r>
        <w:t xml:space="preserve">8. Conclusion</w:t>
      </w:r>
    </w:p>
    <w:p>
      <w:pPr>
        <w:spacing w:after="160"/>
        <w:jc w:val="both"/>
      </w:pPr>
      <w:r>
        <w:t xml:space="preserve">This framework demonstrates that predictive maintenance for precision automotive machining is most effective when built by someone who understands both the mechanical failure physics and the statistical learning method — the SHAP-validated feature rankings above show the model 'agrees' with Taylor's tool-life equation, which is the trust signal a plant engineering team needs before acting on an ML alert. Deploying this on live OPC-UA/MTConnect telemetry, integrating it with the existing CMMS (Computerized Maintenance Management System), and piloting on one machining cell before fleet-wide rollout are the recommended next steps.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6ed3a8e1400a1762858d70b7727f632fd8ed2c.png"/><Relationship Id="rId8" Type="http://schemas.openxmlformats.org/officeDocument/2006/relationships/image" Target="media/9fff2f8c2c58496c5f21a847b0a4ebb087326fe6.png"/><Relationship Id="rId9" Type="http://schemas.openxmlformats.org/officeDocument/2006/relationships/image" Target="media/a47e6f1b9812c8906928e8534668835c1dfa634f.png"/><Relationship Id="rId10" Type="http://schemas.openxmlformats.org/officeDocument/2006/relationships/image" Target="media/266e4a831ffcfb4f7f38d265dfc9da8f55a347dc.png"/><Relationship Id="rId11" Type="http://schemas.openxmlformats.org/officeDocument/2006/relationships/image" Target="media/bd1fc6d96745fff17ac46ab8eb7d394d2c0bfd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2026-07-26T08:35:43.752Z</dcterms:created>
  <dcterms:modified xsi:type="dcterms:W3CDTF">2026-07-26T08:35:43.752Z</dcterms:modified>
</cp:coreProperties>
</file>

<file path=docProps/custom.xml><?xml version="1.0" encoding="utf-8"?>
<Properties xmlns="http://schemas.openxmlformats.org/officeDocument/2006/custom-properties" xmlns:vt="http://schemas.openxmlformats.org/officeDocument/2006/docPropsVTypes"/>
</file>